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22"/>
        <w:rPr>
          <w:rFonts w:ascii="Times New Roman"/>
        </w:rPr>
      </w:pPr>
    </w:p>
    <w:p>
      <w:pPr>
        <w:pStyle w:val="Heading3"/>
        <w:rPr>
          <w:i/>
        </w:rPr>
      </w:pPr>
      <w:r>
        <w:rPr>
          <w:i/>
          <w:spacing w:val="-2"/>
        </w:rPr>
        <w:t>Instructor:</w:t>
      </w:r>
    </w:p>
    <w:p>
      <w:pPr>
        <w:pStyle w:val="BodyText"/>
        <w:spacing w:before="1"/>
        <w:ind w:left="360"/>
      </w:pPr>
      <w:r>
        <w:rPr/>
        <w:t>Aroba Saleem </w:t>
      </w:r>
      <w:hyperlink r:id="rId6">
        <w:r>
          <w:rPr>
            <w:spacing w:val="-2"/>
            <w:u w:val="single"/>
          </w:rPr>
          <w:t>aroba.saleem@ufl.edu</w:t>
        </w:r>
      </w:hyperlink>
      <w:r>
        <w:rPr>
          <w:spacing w:val="-2"/>
          <w:u w:val="none"/>
        </w:rPr>
        <w:t> 352-294-1789</w:t>
      </w:r>
    </w:p>
    <w:p>
      <w:pPr>
        <w:pStyle w:val="BodyText"/>
      </w:pPr>
    </w:p>
    <w:p>
      <w:pPr>
        <w:pStyle w:val="Heading3"/>
        <w:rPr>
          <w:i/>
        </w:rPr>
      </w:pPr>
      <w:r>
        <w:rPr>
          <w:i/>
          <w:spacing w:val="-2"/>
        </w:rPr>
        <w:t>Teaching</w:t>
      </w:r>
      <w:r>
        <w:rPr>
          <w:i/>
          <w:spacing w:val="3"/>
        </w:rPr>
        <w:t> </w:t>
      </w:r>
      <w:r>
        <w:rPr>
          <w:i/>
          <w:spacing w:val="-2"/>
        </w:rPr>
        <w:t>Assistant:</w:t>
      </w:r>
    </w:p>
    <w:p>
      <w:pPr>
        <w:pStyle w:val="BodyText"/>
        <w:spacing w:before="16"/>
        <w:ind w:left="360"/>
      </w:pPr>
      <w:r>
        <w:rPr>
          <w:spacing w:val="-5"/>
        </w:rPr>
        <w:t>TBA</w:t>
      </w:r>
    </w:p>
    <w:p>
      <w:pPr>
        <w:pStyle w:val="Heading1"/>
        <w:spacing w:line="281" w:lineRule="exact" w:before="80"/>
        <w:ind w:left="2"/>
      </w:pPr>
      <w:r>
        <w:rPr>
          <w:b w:val="0"/>
        </w:rPr>
        <w:br w:type="column"/>
      </w:r>
      <w:r>
        <w:rPr/>
        <w:t>Metallurgy </w:t>
      </w:r>
      <w:r>
        <w:rPr>
          <w:spacing w:val="-5"/>
        </w:rPr>
        <w:t>Lab</w:t>
      </w:r>
    </w:p>
    <w:p>
      <w:pPr>
        <w:pStyle w:val="BodyText"/>
        <w:spacing w:line="258" w:lineRule="exact"/>
        <w:ind w:left="2" w:right="2483"/>
        <w:jc w:val="center"/>
      </w:pPr>
      <w:r>
        <w:rPr>
          <w:color w:val="2D74B5"/>
        </w:rPr>
        <w:t>EMA</w:t>
      </w:r>
      <w:r>
        <w:rPr>
          <w:color w:val="2D74B5"/>
          <w:spacing w:val="-6"/>
        </w:rPr>
        <w:t> </w:t>
      </w:r>
      <w:r>
        <w:rPr>
          <w:color w:val="2D74B5"/>
        </w:rPr>
        <w:t>4020L</w:t>
      </w:r>
      <w:r>
        <w:rPr>
          <w:color w:val="2D74B5"/>
          <w:spacing w:val="58"/>
          <w:w w:val="150"/>
        </w:rPr>
        <w:t> </w:t>
      </w:r>
      <w:r>
        <w:rPr>
          <w:color w:val="2D74B5"/>
        </w:rPr>
        <w:t>Section</w:t>
      </w:r>
      <w:r>
        <w:rPr>
          <w:color w:val="2D74B5"/>
          <w:spacing w:val="-4"/>
        </w:rPr>
        <w:t> MTLB</w:t>
      </w:r>
    </w:p>
    <w:p>
      <w:pPr>
        <w:pStyle w:val="Heading1"/>
        <w:ind w:left="2"/>
      </w:pPr>
      <w:r>
        <w:rPr/>
        <w:t>Class</w:t>
      </w:r>
      <w:r>
        <w:rPr>
          <w:spacing w:val="-2"/>
        </w:rPr>
        <w:t> Periods</w:t>
      </w:r>
    </w:p>
    <w:p>
      <w:pPr>
        <w:pStyle w:val="BodyText"/>
        <w:ind w:left="1" w:right="2483"/>
        <w:jc w:val="center"/>
      </w:pPr>
      <w:r>
        <w:rPr>
          <w:color w:val="2D74B5"/>
        </w:rPr>
        <w:t>Thursday:</w:t>
      </w:r>
      <w:r>
        <w:rPr>
          <w:color w:val="2D74B5"/>
          <w:spacing w:val="-6"/>
        </w:rPr>
        <w:t> </w:t>
      </w:r>
      <w:r>
        <w:rPr>
          <w:color w:val="2D74B5"/>
        </w:rPr>
        <w:t>Periods</w:t>
      </w:r>
      <w:r>
        <w:rPr>
          <w:color w:val="2D74B5"/>
          <w:spacing w:val="-5"/>
        </w:rPr>
        <w:t> </w:t>
      </w:r>
      <w:r>
        <w:rPr>
          <w:color w:val="2D74B5"/>
        </w:rPr>
        <w:t>4</w:t>
      </w:r>
      <w:r>
        <w:rPr>
          <w:color w:val="2D74B5"/>
          <w:spacing w:val="-5"/>
        </w:rPr>
        <w:t> </w:t>
      </w:r>
      <w:r>
        <w:rPr>
          <w:color w:val="2D74B5"/>
        </w:rPr>
        <w:t>&amp;</w:t>
      </w:r>
      <w:r>
        <w:rPr>
          <w:color w:val="2D74B5"/>
          <w:spacing w:val="-5"/>
        </w:rPr>
        <w:t> </w:t>
      </w:r>
      <w:r>
        <w:rPr>
          <w:color w:val="2D74B5"/>
        </w:rPr>
        <w:t>5</w:t>
      </w:r>
      <w:r>
        <w:rPr>
          <w:color w:val="2D74B5"/>
          <w:spacing w:val="-4"/>
        </w:rPr>
        <w:t> </w:t>
      </w:r>
      <w:r>
        <w:rPr>
          <w:color w:val="2D74B5"/>
        </w:rPr>
        <w:t>(10:40</w:t>
      </w:r>
      <w:r>
        <w:rPr>
          <w:color w:val="2D74B5"/>
          <w:spacing w:val="-6"/>
        </w:rPr>
        <w:t> </w:t>
      </w:r>
      <w:r>
        <w:rPr>
          <w:color w:val="2D74B5"/>
        </w:rPr>
        <w:t>am</w:t>
      </w:r>
      <w:r>
        <w:rPr>
          <w:color w:val="2D74B5"/>
          <w:spacing w:val="-5"/>
        </w:rPr>
        <w:t> </w:t>
      </w:r>
      <w:r>
        <w:rPr>
          <w:color w:val="2D74B5"/>
        </w:rPr>
        <w:t>-12:35</w:t>
      </w:r>
      <w:r>
        <w:rPr>
          <w:color w:val="2D74B5"/>
          <w:spacing w:val="-6"/>
        </w:rPr>
        <w:t> </w:t>
      </w:r>
      <w:r>
        <w:rPr>
          <w:color w:val="2D74B5"/>
          <w:spacing w:val="-5"/>
        </w:rPr>
        <w:t>pm)</w:t>
      </w:r>
    </w:p>
    <w:p>
      <w:pPr>
        <w:pStyle w:val="Heading1"/>
        <w:spacing w:line="281" w:lineRule="exact" w:before="1"/>
      </w:pPr>
      <w:r>
        <w:rPr>
          <w:spacing w:val="-2"/>
        </w:rPr>
        <w:t>Location</w:t>
      </w:r>
    </w:p>
    <w:p>
      <w:pPr>
        <w:pStyle w:val="BodyText"/>
        <w:spacing w:line="258" w:lineRule="exact"/>
        <w:ind w:left="97" w:right="2483"/>
        <w:jc w:val="center"/>
      </w:pPr>
      <w:r>
        <w:rPr>
          <w:color w:val="2D74B5"/>
          <w:spacing w:val="-5"/>
        </w:rPr>
        <w:t>B06</w:t>
      </w:r>
    </w:p>
    <w:p>
      <w:pPr>
        <w:pStyle w:val="Heading1"/>
      </w:pPr>
      <w:r>
        <w:rPr/>
        <w:t>Academic</w:t>
      </w:r>
      <w:r>
        <w:rPr>
          <w:spacing w:val="-4"/>
        </w:rPr>
        <w:t> Term</w:t>
      </w:r>
    </w:p>
    <w:p>
      <w:pPr>
        <w:pStyle w:val="BodyText"/>
        <w:spacing w:before="1"/>
        <w:ind w:right="2483"/>
        <w:jc w:val="center"/>
      </w:pPr>
      <w:r>
        <w:rPr>
          <w:color w:val="2D74B5"/>
        </w:rPr>
        <w:t>Spring</w:t>
      </w:r>
      <w:r>
        <w:rPr>
          <w:color w:val="2D74B5"/>
          <w:spacing w:val="-10"/>
        </w:rPr>
        <w:t> </w:t>
      </w:r>
      <w:r>
        <w:rPr>
          <w:color w:val="2D74B5"/>
          <w:spacing w:val="-4"/>
        </w:rPr>
        <w:t>2026</w:t>
      </w:r>
    </w:p>
    <w:p>
      <w:pPr>
        <w:pStyle w:val="Heading2"/>
      </w:pPr>
      <w:r>
        <w:rPr/>
        <w:t>Please</w:t>
      </w:r>
      <w:r>
        <w:rPr>
          <w:spacing w:val="-7"/>
        </w:rPr>
        <w:t> </w:t>
      </w:r>
      <w:r>
        <w:rPr/>
        <w:t>wear</w:t>
      </w:r>
      <w:r>
        <w:rPr>
          <w:spacing w:val="-7"/>
        </w:rPr>
        <w:t> </w:t>
      </w:r>
      <w:r>
        <w:rPr/>
        <w:t>closed-toe</w:t>
      </w:r>
      <w:r>
        <w:rPr>
          <w:spacing w:val="-6"/>
        </w:rPr>
        <w:t> </w:t>
      </w:r>
      <w:r>
        <w:rPr/>
        <w:t>shoes</w:t>
      </w:r>
      <w:r>
        <w:rPr>
          <w:spacing w:val="-7"/>
        </w:rPr>
        <w:t> </w:t>
      </w:r>
      <w:r>
        <w:rPr/>
        <w:t>and</w:t>
      </w:r>
      <w:r>
        <w:rPr>
          <w:spacing w:val="-8"/>
        </w:rPr>
        <w:t> </w:t>
      </w:r>
      <w:r>
        <w:rPr/>
        <w:t>pants</w:t>
      </w:r>
      <w:r>
        <w:rPr>
          <w:spacing w:val="-7"/>
        </w:rPr>
        <w:t> </w:t>
      </w:r>
      <w:r>
        <w:rPr/>
        <w:t>during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/>
        <w:t>lab</w:t>
      </w:r>
      <w:r>
        <w:rPr>
          <w:spacing w:val="-7"/>
        </w:rPr>
        <w:t> </w:t>
      </w:r>
      <w:r>
        <w:rPr>
          <w:spacing w:val="-2"/>
        </w:rPr>
        <w:t>sessions</w:t>
      </w:r>
    </w:p>
    <w:p>
      <w:pPr>
        <w:pStyle w:val="Heading2"/>
        <w:spacing w:after="0"/>
        <w:sectPr>
          <w:footerReference w:type="default" r:id="rId5"/>
          <w:type w:val="continuous"/>
          <w:pgSz w:w="12240" w:h="15840"/>
          <w:pgMar w:header="0" w:footer="989" w:top="640" w:bottom="1180" w:left="360" w:right="360"/>
          <w:pgNumType w:start="1"/>
          <w:cols w:num="2" w:equalWidth="0">
            <w:col w:w="2445" w:space="40"/>
            <w:col w:w="9035"/>
          </w:cols>
        </w:sectPr>
      </w:pPr>
    </w:p>
    <w:p>
      <w:pPr>
        <w:pStyle w:val="BodyText"/>
        <w:spacing w:before="14"/>
        <w:rPr>
          <w:b/>
        </w:rPr>
      </w:pPr>
    </w:p>
    <w:p>
      <w:pPr>
        <w:pStyle w:val="Heading3"/>
        <w:rPr>
          <w:i/>
        </w:rPr>
      </w:pPr>
      <w:r>
        <w:rPr>
          <w:i/>
        </w:rPr>
        <w:t>Course</w:t>
      </w:r>
      <w:r>
        <w:rPr>
          <w:i/>
          <w:spacing w:val="-7"/>
        </w:rPr>
        <w:t> </w:t>
      </w:r>
      <w:r>
        <w:rPr>
          <w:i/>
          <w:spacing w:val="-2"/>
        </w:rPr>
        <w:t>Description</w:t>
      </w:r>
    </w:p>
    <w:p>
      <w:pPr>
        <w:pStyle w:val="BodyText"/>
        <w:ind w:left="360" w:right="363"/>
      </w:pPr>
      <w:r>
        <w:rPr/>
        <w:t>This is a 1-credit course designed to offer students a comprehensive understanding of the laboratory aspects of metals</w:t>
      </w:r>
      <w:r>
        <w:rPr>
          <w:spacing w:val="-3"/>
        </w:rPr>
        <w:t> </w:t>
      </w:r>
      <w:r>
        <w:rPr/>
        <w:t>processing.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focus</w:t>
      </w:r>
      <w:r>
        <w:rPr>
          <w:spacing w:val="-2"/>
        </w:rPr>
        <w:t> </w:t>
      </w:r>
      <w:r>
        <w:rPr/>
        <w:t>on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Science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Technology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metals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manufacturing</w:t>
      </w:r>
      <w:r>
        <w:rPr>
          <w:spacing w:val="-3"/>
        </w:rPr>
        <w:t> </w:t>
      </w:r>
      <w:r>
        <w:rPr/>
        <w:t>processing,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course bridges theoretical knowledge with practical application.</w:t>
      </w:r>
    </w:p>
    <w:p>
      <w:pPr>
        <w:pStyle w:val="BodyText"/>
      </w:pPr>
    </w:p>
    <w:p>
      <w:pPr>
        <w:pStyle w:val="Heading3"/>
        <w:spacing w:line="257" w:lineRule="exact" w:before="1"/>
        <w:rPr>
          <w:i/>
        </w:rPr>
      </w:pPr>
      <w:r>
        <w:rPr>
          <w:i/>
          <w:spacing w:val="-2"/>
        </w:rPr>
        <w:t>Course</w:t>
      </w:r>
      <w:r>
        <w:rPr>
          <w:i/>
          <w:spacing w:val="20"/>
        </w:rPr>
        <w:t> </w:t>
      </w:r>
      <w:r>
        <w:rPr>
          <w:i/>
          <w:spacing w:val="-2"/>
        </w:rPr>
        <w:t>Pre-requisites/Co-requisite</w:t>
      </w:r>
    </w:p>
    <w:p>
      <w:pPr>
        <w:pStyle w:val="BodyText"/>
        <w:spacing w:line="257" w:lineRule="exact"/>
        <w:ind w:left="360"/>
      </w:pPr>
      <w:r>
        <w:rPr/>
        <w:t>EMA</w:t>
      </w:r>
      <w:r>
        <w:rPr>
          <w:spacing w:val="-6"/>
        </w:rPr>
        <w:t> </w:t>
      </w:r>
      <w:r>
        <w:rPr/>
        <w:t>4120</w:t>
      </w:r>
      <w:r>
        <w:rPr>
          <w:spacing w:val="-6"/>
        </w:rPr>
        <w:t> </w:t>
      </w:r>
      <w:r>
        <w:rPr/>
        <w:t>(Phys.</w:t>
      </w:r>
      <w:r>
        <w:rPr>
          <w:spacing w:val="-6"/>
        </w:rPr>
        <w:t> </w:t>
      </w:r>
      <w:r>
        <w:rPr/>
        <w:t>Met</w:t>
      </w:r>
      <w:r>
        <w:rPr>
          <w:spacing w:val="-5"/>
        </w:rPr>
        <w:t> </w:t>
      </w:r>
      <w:r>
        <w:rPr/>
        <w:t>I)</w:t>
      </w:r>
      <w:r>
        <w:rPr>
          <w:spacing w:val="-5"/>
        </w:rPr>
        <w:t> </w:t>
      </w:r>
      <w:r>
        <w:rPr/>
        <w:t>and</w:t>
      </w:r>
      <w:r>
        <w:rPr>
          <w:spacing w:val="-6"/>
        </w:rPr>
        <w:t> </w:t>
      </w:r>
      <w:r>
        <w:rPr/>
        <w:t>EMA</w:t>
      </w:r>
      <w:r>
        <w:rPr>
          <w:spacing w:val="-6"/>
        </w:rPr>
        <w:t> </w:t>
      </w:r>
      <w:r>
        <w:rPr/>
        <w:t>4623</w:t>
      </w:r>
      <w:r>
        <w:rPr>
          <w:spacing w:val="-6"/>
        </w:rPr>
        <w:t> </w:t>
      </w:r>
      <w:r>
        <w:rPr/>
        <w:t>(Process</w:t>
      </w:r>
      <w:r>
        <w:rPr>
          <w:spacing w:val="-5"/>
        </w:rPr>
        <w:t> </w:t>
      </w:r>
      <w:r>
        <w:rPr>
          <w:spacing w:val="-2"/>
        </w:rPr>
        <w:t>Metallurgy)</w:t>
      </w:r>
    </w:p>
    <w:p>
      <w:pPr>
        <w:pStyle w:val="Heading3"/>
        <w:spacing w:before="258"/>
        <w:rPr>
          <w:i/>
        </w:rPr>
      </w:pPr>
      <w:r>
        <w:rPr>
          <w:i/>
        </w:rPr>
        <w:t>Course</w:t>
      </w:r>
      <w:r>
        <w:rPr>
          <w:i/>
          <w:spacing w:val="-7"/>
        </w:rPr>
        <w:t> </w:t>
      </w:r>
      <w:r>
        <w:rPr>
          <w:i/>
          <w:spacing w:val="-2"/>
        </w:rPr>
        <w:t>Objectives</w:t>
      </w:r>
    </w:p>
    <w:p>
      <w:pPr>
        <w:pStyle w:val="BodyText"/>
        <w:ind w:left="360"/>
      </w:pPr>
      <w:r>
        <w:rPr>
          <w:spacing w:val="-2"/>
        </w:rPr>
        <w:t>To</w:t>
      </w:r>
      <w:r>
        <w:rPr>
          <w:spacing w:val="6"/>
        </w:rPr>
        <w:t> </w:t>
      </w:r>
      <w:r>
        <w:rPr>
          <w:spacing w:val="-2"/>
        </w:rPr>
        <w:t>introduce</w:t>
      </w:r>
      <w:r>
        <w:rPr>
          <w:spacing w:val="8"/>
        </w:rPr>
        <w:t> </w:t>
      </w:r>
      <w:r>
        <w:rPr>
          <w:spacing w:val="-2"/>
        </w:rPr>
        <w:t>the</w:t>
      </w:r>
      <w:r>
        <w:rPr>
          <w:spacing w:val="7"/>
        </w:rPr>
        <w:t> </w:t>
      </w:r>
      <w:r>
        <w:rPr>
          <w:spacing w:val="-2"/>
        </w:rPr>
        <w:t>student</w:t>
      </w:r>
      <w:r>
        <w:rPr>
          <w:spacing w:val="7"/>
        </w:rPr>
        <w:t> </w:t>
      </w:r>
      <w:r>
        <w:rPr>
          <w:spacing w:val="-2"/>
        </w:rPr>
        <w:t>to</w:t>
      </w:r>
      <w:r>
        <w:rPr>
          <w:spacing w:val="6"/>
        </w:rPr>
        <w:t> </w:t>
      </w:r>
      <w:r>
        <w:rPr>
          <w:spacing w:val="-2"/>
        </w:rPr>
        <w:t>microstructure-properties-processing</w:t>
      </w:r>
      <w:r>
        <w:rPr>
          <w:spacing w:val="7"/>
        </w:rPr>
        <w:t> </w:t>
      </w:r>
      <w:r>
        <w:rPr>
          <w:spacing w:val="-2"/>
        </w:rPr>
        <w:t>inter-relationships</w:t>
      </w:r>
      <w:r>
        <w:rPr>
          <w:spacing w:val="7"/>
        </w:rPr>
        <w:t> </w:t>
      </w:r>
      <w:r>
        <w:rPr>
          <w:spacing w:val="-2"/>
        </w:rPr>
        <w:t>in</w:t>
      </w:r>
      <w:r>
        <w:rPr>
          <w:spacing w:val="8"/>
        </w:rPr>
        <w:t> </w:t>
      </w:r>
      <w:r>
        <w:rPr>
          <w:spacing w:val="-2"/>
        </w:rPr>
        <w:t>structural</w:t>
      </w:r>
      <w:r>
        <w:rPr>
          <w:spacing w:val="6"/>
        </w:rPr>
        <w:t> </w:t>
      </w:r>
      <w:r>
        <w:rPr>
          <w:spacing w:val="-2"/>
        </w:rPr>
        <w:t>materials.</w:t>
      </w:r>
    </w:p>
    <w:p>
      <w:pPr>
        <w:pStyle w:val="BodyText"/>
      </w:pPr>
    </w:p>
    <w:p>
      <w:pPr>
        <w:pStyle w:val="Heading3"/>
        <w:rPr>
          <w:i/>
        </w:rPr>
      </w:pPr>
      <w:r>
        <w:rPr>
          <w:i/>
          <w:spacing w:val="-2"/>
        </w:rPr>
        <w:t>Approach</w:t>
      </w:r>
    </w:p>
    <w:p>
      <w:pPr>
        <w:pStyle w:val="BodyText"/>
        <w:ind w:left="360" w:right="363"/>
      </w:pPr>
      <w:r>
        <w:rPr/>
        <w:t>Demonstrate</w:t>
      </w:r>
      <w:r>
        <w:rPr>
          <w:spacing w:val="-5"/>
        </w:rPr>
        <w:t> </w:t>
      </w:r>
      <w:r>
        <w:rPr/>
        <w:t>connections</w:t>
      </w:r>
      <w:r>
        <w:rPr>
          <w:spacing w:val="-3"/>
        </w:rPr>
        <w:t> </w:t>
      </w:r>
      <w:r>
        <w:rPr/>
        <w:t>between</w:t>
      </w:r>
      <w:r>
        <w:rPr>
          <w:spacing w:val="-4"/>
        </w:rPr>
        <w:t> </w:t>
      </w:r>
      <w:r>
        <w:rPr/>
        <w:t>processing,</w:t>
      </w:r>
      <w:r>
        <w:rPr>
          <w:spacing w:val="-5"/>
        </w:rPr>
        <w:t> </w:t>
      </w:r>
      <w:r>
        <w:rPr/>
        <w:t>microstructures,</w:t>
      </w:r>
      <w:r>
        <w:rPr>
          <w:spacing w:val="-4"/>
        </w:rPr>
        <w:t> </w:t>
      </w:r>
      <w:r>
        <w:rPr/>
        <w:t>and</w:t>
      </w:r>
      <w:r>
        <w:rPr>
          <w:spacing w:val="-5"/>
        </w:rPr>
        <w:t> </w:t>
      </w:r>
      <w:r>
        <w:rPr/>
        <w:t>properties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/>
        <w:t>metals.</w:t>
      </w:r>
      <w:r>
        <w:rPr>
          <w:spacing w:val="-5"/>
        </w:rPr>
        <w:t> </w:t>
      </w:r>
      <w:r>
        <w:rPr/>
        <w:t>Use</w:t>
      </w:r>
      <w:r>
        <w:rPr>
          <w:spacing w:val="-5"/>
        </w:rPr>
        <w:t> </w:t>
      </w:r>
      <w:r>
        <w:rPr/>
        <w:t>laboratory experiments to illustrate the effect of processing on microstructures and properties.</w:t>
      </w:r>
    </w:p>
    <w:p>
      <w:pPr>
        <w:pStyle w:val="BodyText"/>
      </w:pPr>
    </w:p>
    <w:p>
      <w:pPr>
        <w:pStyle w:val="Heading3"/>
        <w:spacing w:before="1"/>
        <w:rPr>
          <w:i/>
        </w:rPr>
      </w:pPr>
      <w:r>
        <w:rPr>
          <w:i/>
        </w:rPr>
        <w:t>Materials</w:t>
      </w:r>
      <w:r>
        <w:rPr>
          <w:i/>
          <w:spacing w:val="-10"/>
        </w:rPr>
        <w:t> </w:t>
      </w:r>
      <w:r>
        <w:rPr>
          <w:i/>
        </w:rPr>
        <w:t>and</w:t>
      </w:r>
      <w:r>
        <w:rPr>
          <w:i/>
          <w:spacing w:val="-10"/>
        </w:rPr>
        <w:t> </w:t>
      </w:r>
      <w:r>
        <w:rPr>
          <w:i/>
        </w:rPr>
        <w:t>Supply</w:t>
      </w:r>
      <w:r>
        <w:rPr>
          <w:i/>
          <w:spacing w:val="-9"/>
        </w:rPr>
        <w:t> </w:t>
      </w:r>
      <w:r>
        <w:rPr>
          <w:i/>
          <w:spacing w:val="-4"/>
        </w:rPr>
        <w:t>Fees</w:t>
      </w:r>
    </w:p>
    <w:p>
      <w:pPr>
        <w:pStyle w:val="BodyText"/>
        <w:ind w:left="360"/>
      </w:pPr>
      <w:r>
        <w:rPr>
          <w:spacing w:val="-5"/>
        </w:rPr>
        <w:t>$80</w:t>
      </w:r>
    </w:p>
    <w:p>
      <w:pPr>
        <w:pStyle w:val="BodyText"/>
      </w:pPr>
    </w:p>
    <w:p>
      <w:pPr>
        <w:pStyle w:val="Heading3"/>
        <w:rPr>
          <w:i/>
        </w:rPr>
      </w:pPr>
      <w:r>
        <w:rPr>
          <w:i/>
        </w:rPr>
        <w:t>Relation</w:t>
      </w:r>
      <w:r>
        <w:rPr>
          <w:i/>
          <w:spacing w:val="-11"/>
        </w:rPr>
        <w:t> </w:t>
      </w:r>
      <w:r>
        <w:rPr>
          <w:i/>
        </w:rPr>
        <w:t>to</w:t>
      </w:r>
      <w:r>
        <w:rPr>
          <w:i/>
          <w:spacing w:val="-9"/>
        </w:rPr>
        <w:t> </w:t>
      </w:r>
      <w:r>
        <w:rPr>
          <w:i/>
        </w:rPr>
        <w:t>Program</w:t>
      </w:r>
      <w:r>
        <w:rPr>
          <w:i/>
          <w:spacing w:val="-10"/>
        </w:rPr>
        <w:t> </w:t>
      </w:r>
      <w:r>
        <w:rPr>
          <w:i/>
        </w:rPr>
        <w:t>Outcomes</w:t>
      </w:r>
      <w:r>
        <w:rPr>
          <w:i/>
          <w:spacing w:val="-10"/>
        </w:rPr>
        <w:t> </w:t>
      </w:r>
      <w:r>
        <w:rPr>
          <w:i/>
          <w:spacing w:val="-2"/>
        </w:rPr>
        <w:t>(ABET):</w:t>
      </w:r>
    </w:p>
    <w:p>
      <w:pPr>
        <w:pStyle w:val="BodyText"/>
        <w:spacing w:before="23" w:after="1"/>
        <w:rPr>
          <w:b/>
          <w:i/>
          <w:sz w:val="20"/>
        </w:rPr>
      </w:pPr>
    </w:p>
    <w:tbl>
      <w:tblPr>
        <w:tblW w:w="0" w:type="auto"/>
        <w:jc w:val="left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96"/>
        <w:gridCol w:w="5396"/>
      </w:tblGrid>
      <w:tr>
        <w:trPr>
          <w:trHeight w:val="257" w:hRule="atLeast"/>
        </w:trPr>
        <w:tc>
          <w:tcPr>
            <w:tcW w:w="5396" w:type="dxa"/>
            <w:shd w:val="clear" w:color="auto" w:fill="BCD5ED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Outcome</w:t>
            </w:r>
          </w:p>
        </w:tc>
        <w:tc>
          <w:tcPr>
            <w:tcW w:w="5396" w:type="dxa"/>
            <w:shd w:val="clear" w:color="auto" w:fill="BCD5ED"/>
          </w:tcPr>
          <w:p>
            <w:pPr>
              <w:pStyle w:val="TableParagraph"/>
              <w:rPr>
                <w:b/>
                <w:position w:val="5"/>
                <w:sz w:val="14"/>
              </w:rPr>
            </w:pPr>
            <w:r>
              <w:rPr>
                <w:b/>
                <w:spacing w:val="-2"/>
                <w:sz w:val="22"/>
              </w:rPr>
              <w:t>Coverage</w:t>
            </w:r>
            <w:r>
              <w:rPr>
                <w:b/>
                <w:spacing w:val="-2"/>
                <w:position w:val="5"/>
                <w:sz w:val="14"/>
              </w:rPr>
              <w:t>*</w:t>
            </w:r>
          </w:p>
        </w:tc>
      </w:tr>
      <w:tr>
        <w:trPr>
          <w:trHeight w:val="1019" w:hRule="atLeast"/>
        </w:trPr>
        <w:tc>
          <w:tcPr>
            <w:tcW w:w="5396" w:type="dxa"/>
          </w:tcPr>
          <w:p>
            <w:pPr>
              <w:pStyle w:val="TableParagraph"/>
              <w:tabs>
                <w:tab w:pos="483" w:val="left" w:leader="none"/>
              </w:tabs>
              <w:spacing w:line="278" w:lineRule="auto" w:before="41"/>
              <w:ind w:left="483" w:right="476" w:hanging="360"/>
              <w:rPr>
                <w:sz w:val="22"/>
              </w:rPr>
            </w:pPr>
            <w:r>
              <w:rPr>
                <w:rFonts w:ascii="Arial"/>
                <w:color w:val="333333"/>
                <w:spacing w:val="-6"/>
                <w:sz w:val="16"/>
              </w:rPr>
              <w:t>1.</w:t>
            </w:r>
            <w:r>
              <w:rPr>
                <w:rFonts w:ascii="Arial"/>
                <w:color w:val="333333"/>
                <w:sz w:val="16"/>
              </w:rPr>
              <w:tab/>
            </w:r>
            <w:r>
              <w:rPr>
                <w:color w:val="333333"/>
                <w:sz w:val="22"/>
              </w:rPr>
              <w:t>An ability to identify, formulate, and solve engineering</w:t>
            </w:r>
            <w:r>
              <w:rPr>
                <w:color w:val="333333"/>
                <w:spacing w:val="-9"/>
                <w:sz w:val="22"/>
              </w:rPr>
              <w:t> </w:t>
            </w:r>
            <w:r>
              <w:rPr>
                <w:color w:val="333333"/>
                <w:sz w:val="22"/>
              </w:rPr>
              <w:t>problems</w:t>
            </w:r>
            <w:r>
              <w:rPr>
                <w:color w:val="333333"/>
                <w:spacing w:val="-8"/>
                <w:sz w:val="22"/>
              </w:rPr>
              <w:t> </w:t>
            </w:r>
            <w:r>
              <w:rPr>
                <w:color w:val="333333"/>
                <w:sz w:val="22"/>
              </w:rPr>
              <w:t>by</w:t>
            </w:r>
            <w:r>
              <w:rPr>
                <w:color w:val="333333"/>
                <w:spacing w:val="-9"/>
                <w:sz w:val="22"/>
              </w:rPr>
              <w:t> </w:t>
            </w:r>
            <w:r>
              <w:rPr>
                <w:color w:val="333333"/>
                <w:sz w:val="22"/>
              </w:rPr>
              <w:t>applying</w:t>
            </w:r>
            <w:r>
              <w:rPr>
                <w:color w:val="333333"/>
                <w:spacing w:val="-8"/>
                <w:sz w:val="22"/>
              </w:rPr>
              <w:t> </w:t>
            </w:r>
            <w:r>
              <w:rPr>
                <w:color w:val="333333"/>
                <w:sz w:val="22"/>
              </w:rPr>
              <w:t>principles</w:t>
            </w:r>
            <w:r>
              <w:rPr>
                <w:color w:val="333333"/>
                <w:spacing w:val="-9"/>
                <w:sz w:val="22"/>
              </w:rPr>
              <w:t> </w:t>
            </w:r>
            <w:r>
              <w:rPr>
                <w:color w:val="333333"/>
                <w:sz w:val="22"/>
              </w:rPr>
              <w:t>of engineering, science, and mathematics.</w:t>
            </w:r>
          </w:p>
        </w:tc>
        <w:tc>
          <w:tcPr>
            <w:tcW w:w="5396" w:type="dxa"/>
          </w:tcPr>
          <w:p>
            <w:pPr>
              <w:pStyle w:val="TableParagraph"/>
              <w:spacing w:line="257" w:lineRule="exact"/>
              <w:rPr>
                <w:sz w:val="22"/>
              </w:rPr>
            </w:pPr>
            <w:r>
              <w:rPr>
                <w:spacing w:val="-5"/>
                <w:sz w:val="22"/>
              </w:rPr>
              <w:t>Low</w:t>
            </w:r>
          </w:p>
        </w:tc>
      </w:tr>
      <w:tr>
        <w:trPr>
          <w:trHeight w:val="1620" w:hRule="atLeast"/>
        </w:trPr>
        <w:tc>
          <w:tcPr>
            <w:tcW w:w="5396" w:type="dxa"/>
          </w:tcPr>
          <w:p>
            <w:pPr>
              <w:pStyle w:val="TableParagraph"/>
              <w:tabs>
                <w:tab w:pos="483" w:val="left" w:leader="none"/>
              </w:tabs>
              <w:spacing w:line="278" w:lineRule="auto" w:before="42"/>
              <w:ind w:left="483" w:right="206" w:hanging="360"/>
              <w:rPr>
                <w:sz w:val="22"/>
              </w:rPr>
            </w:pPr>
            <w:r>
              <w:rPr>
                <w:rFonts w:ascii="Arial"/>
                <w:color w:val="333333"/>
                <w:spacing w:val="-6"/>
                <w:sz w:val="16"/>
              </w:rPr>
              <w:t>2.</w:t>
            </w:r>
            <w:r>
              <w:rPr>
                <w:rFonts w:ascii="Arial"/>
                <w:color w:val="333333"/>
                <w:sz w:val="16"/>
              </w:rPr>
              <w:tab/>
            </w:r>
            <w:r>
              <w:rPr>
                <w:sz w:val="22"/>
              </w:rPr>
              <w:t>An ability to apply engineering design to produce solutions that meet specified needs with consideration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public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health,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safety,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welfare, as well as global, cultural, social, environmental, and economic factors.</w:t>
            </w:r>
          </w:p>
        </w:tc>
        <w:tc>
          <w:tcPr>
            <w:tcW w:w="5396" w:type="dxa"/>
          </w:tcPr>
          <w:p>
            <w:pPr>
              <w:pStyle w:val="TableParagraph"/>
              <w:spacing w:line="257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Medium</w:t>
            </w:r>
          </w:p>
        </w:tc>
      </w:tr>
      <w:tr>
        <w:trPr>
          <w:trHeight w:val="720" w:hRule="atLeast"/>
        </w:trPr>
        <w:tc>
          <w:tcPr>
            <w:tcW w:w="5396" w:type="dxa"/>
          </w:tcPr>
          <w:p>
            <w:pPr>
              <w:pStyle w:val="TableParagraph"/>
              <w:tabs>
                <w:tab w:pos="483" w:val="left" w:leader="none"/>
              </w:tabs>
              <w:spacing w:line="278" w:lineRule="auto" w:before="42"/>
              <w:ind w:left="483" w:right="206" w:hanging="360"/>
              <w:rPr>
                <w:sz w:val="22"/>
              </w:rPr>
            </w:pPr>
            <w:r>
              <w:rPr>
                <w:rFonts w:ascii="Arial"/>
                <w:color w:val="333333"/>
                <w:spacing w:val="-6"/>
                <w:sz w:val="16"/>
              </w:rPr>
              <w:t>3.</w:t>
            </w:r>
            <w:r>
              <w:rPr>
                <w:rFonts w:ascii="Arial"/>
                <w:color w:val="333333"/>
                <w:sz w:val="16"/>
              </w:rPr>
              <w:tab/>
            </w:r>
            <w:r>
              <w:rPr>
                <w:sz w:val="22"/>
              </w:rPr>
              <w:t>An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communicate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effectively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range of audiences</w:t>
            </w:r>
          </w:p>
        </w:tc>
        <w:tc>
          <w:tcPr>
            <w:tcW w:w="5396" w:type="dxa"/>
          </w:tcPr>
          <w:p>
            <w:pPr>
              <w:pStyle w:val="TableParagraph"/>
              <w:spacing w:line="240" w:lineRule="auto"/>
              <w:rPr>
                <w:sz w:val="22"/>
              </w:rPr>
            </w:pPr>
            <w:r>
              <w:rPr>
                <w:spacing w:val="-2"/>
                <w:sz w:val="22"/>
              </w:rPr>
              <w:t>Medium</w:t>
            </w:r>
          </w:p>
        </w:tc>
      </w:tr>
    </w:tbl>
    <w:p>
      <w:pPr>
        <w:pStyle w:val="TableParagraph"/>
        <w:spacing w:after="0" w:line="240" w:lineRule="auto"/>
        <w:rPr>
          <w:sz w:val="22"/>
        </w:rPr>
        <w:sectPr>
          <w:type w:val="continuous"/>
          <w:pgSz w:w="12240" w:h="15840"/>
          <w:pgMar w:header="0" w:footer="989" w:top="640" w:bottom="1180" w:left="360" w:right="360"/>
        </w:sectPr>
      </w:pPr>
    </w:p>
    <w:tbl>
      <w:tblPr>
        <w:tblW w:w="0" w:type="auto"/>
        <w:jc w:val="left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96"/>
        <w:gridCol w:w="5396"/>
      </w:tblGrid>
      <w:tr>
        <w:trPr>
          <w:trHeight w:val="1289" w:hRule="atLeast"/>
        </w:trPr>
        <w:tc>
          <w:tcPr>
            <w:tcW w:w="5396" w:type="dxa"/>
          </w:tcPr>
          <w:p>
            <w:pPr>
              <w:pStyle w:val="TableParagraph"/>
              <w:tabs>
                <w:tab w:pos="483" w:val="left" w:leader="none"/>
              </w:tabs>
              <w:spacing w:line="258" w:lineRule="exact"/>
              <w:ind w:left="483" w:right="112" w:hanging="360"/>
              <w:rPr>
                <w:sz w:val="22"/>
              </w:rPr>
            </w:pPr>
            <w:r>
              <w:rPr>
                <w:rFonts w:ascii="Times New Roman"/>
                <w:spacing w:val="-6"/>
                <w:sz w:val="16"/>
              </w:rPr>
              <w:t>4.</w:t>
            </w:r>
            <w:r>
              <w:rPr>
                <w:rFonts w:ascii="Times New Roman"/>
                <w:sz w:val="16"/>
              </w:rPr>
              <w:tab/>
            </w:r>
            <w:r>
              <w:rPr>
                <w:sz w:val="22"/>
              </w:rPr>
              <w:t>An ability to recognize ethical and professional responsibilities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engineering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situations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make informed judgments, which must consider the impact of engineering solutions in global, economic, environmental, and societal contexts</w:t>
            </w:r>
          </w:p>
        </w:tc>
        <w:tc>
          <w:tcPr>
            <w:tcW w:w="53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1320" w:hRule="atLeast"/>
        </w:trPr>
        <w:tc>
          <w:tcPr>
            <w:tcW w:w="5396" w:type="dxa"/>
          </w:tcPr>
          <w:p>
            <w:pPr>
              <w:pStyle w:val="TableParagraph"/>
              <w:tabs>
                <w:tab w:pos="483" w:val="left" w:leader="none"/>
              </w:tabs>
              <w:spacing w:line="278" w:lineRule="auto" w:before="41"/>
              <w:ind w:left="483" w:right="185" w:hanging="360"/>
              <w:rPr>
                <w:sz w:val="22"/>
              </w:rPr>
            </w:pPr>
            <w:r>
              <w:rPr>
                <w:rFonts w:ascii="Arial"/>
                <w:color w:val="333333"/>
                <w:spacing w:val="-6"/>
                <w:sz w:val="16"/>
              </w:rPr>
              <w:t>5.</w:t>
            </w:r>
            <w:r>
              <w:rPr>
                <w:rFonts w:ascii="Arial"/>
                <w:color w:val="333333"/>
                <w:sz w:val="16"/>
              </w:rPr>
              <w:tab/>
            </w:r>
            <w:r>
              <w:rPr>
                <w:sz w:val="22"/>
              </w:rPr>
              <w:t>An ability to function effectively on a team whose members together provide leadership, create a collaborative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inclusive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environment,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establish goals, plan tasks, and meet objectives</w:t>
            </w:r>
          </w:p>
        </w:tc>
        <w:tc>
          <w:tcPr>
            <w:tcW w:w="5396" w:type="dxa"/>
          </w:tcPr>
          <w:p>
            <w:pPr>
              <w:pStyle w:val="TableParagraph"/>
              <w:spacing w:line="257" w:lineRule="exact"/>
              <w:rPr>
                <w:sz w:val="22"/>
              </w:rPr>
            </w:pPr>
            <w:r>
              <w:rPr>
                <w:spacing w:val="-5"/>
                <w:sz w:val="22"/>
              </w:rPr>
              <w:t>Low</w:t>
            </w:r>
          </w:p>
        </w:tc>
      </w:tr>
      <w:tr>
        <w:trPr>
          <w:trHeight w:val="1020" w:hRule="atLeast"/>
        </w:trPr>
        <w:tc>
          <w:tcPr>
            <w:tcW w:w="5396" w:type="dxa"/>
          </w:tcPr>
          <w:p>
            <w:pPr>
              <w:pStyle w:val="TableParagraph"/>
              <w:tabs>
                <w:tab w:pos="483" w:val="left" w:leader="none"/>
              </w:tabs>
              <w:spacing w:line="278" w:lineRule="auto" w:before="42"/>
              <w:ind w:left="483" w:right="278" w:hanging="360"/>
              <w:rPr>
                <w:sz w:val="22"/>
              </w:rPr>
            </w:pPr>
            <w:r>
              <w:rPr>
                <w:rFonts w:ascii="Arial"/>
                <w:color w:val="333333"/>
                <w:spacing w:val="-6"/>
                <w:sz w:val="16"/>
              </w:rPr>
              <w:t>6.</w:t>
            </w:r>
            <w:r>
              <w:rPr>
                <w:rFonts w:ascii="Arial"/>
                <w:color w:val="333333"/>
                <w:sz w:val="16"/>
              </w:rPr>
              <w:tab/>
            </w:r>
            <w:r>
              <w:rPr>
                <w:sz w:val="22"/>
              </w:rPr>
              <w:t>An ability to develop and conduct appropriate experimentation,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analyze,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interpret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data,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and use engineering judgment to draw conclusions</w:t>
            </w:r>
          </w:p>
        </w:tc>
        <w:tc>
          <w:tcPr>
            <w:tcW w:w="5396" w:type="dxa"/>
          </w:tcPr>
          <w:p>
            <w:pPr>
              <w:pStyle w:val="TableParagraph"/>
              <w:spacing w:line="240" w:lineRule="auto"/>
              <w:rPr>
                <w:sz w:val="22"/>
              </w:rPr>
            </w:pPr>
            <w:r>
              <w:rPr>
                <w:spacing w:val="-4"/>
                <w:sz w:val="22"/>
              </w:rPr>
              <w:t>High</w:t>
            </w:r>
          </w:p>
        </w:tc>
      </w:tr>
      <w:tr>
        <w:trPr>
          <w:trHeight w:val="719" w:hRule="atLeast"/>
        </w:trPr>
        <w:tc>
          <w:tcPr>
            <w:tcW w:w="5396" w:type="dxa"/>
          </w:tcPr>
          <w:p>
            <w:pPr>
              <w:pStyle w:val="TableParagraph"/>
              <w:tabs>
                <w:tab w:pos="483" w:val="left" w:leader="none"/>
              </w:tabs>
              <w:spacing w:line="278" w:lineRule="auto" w:before="41"/>
              <w:ind w:left="483" w:right="256" w:hanging="360"/>
              <w:rPr>
                <w:sz w:val="22"/>
              </w:rPr>
            </w:pPr>
            <w:r>
              <w:rPr>
                <w:rFonts w:ascii="Arial"/>
                <w:color w:val="333333"/>
                <w:spacing w:val="-6"/>
                <w:sz w:val="16"/>
              </w:rPr>
              <w:t>7.</w:t>
            </w:r>
            <w:r>
              <w:rPr>
                <w:rFonts w:ascii="Arial"/>
                <w:color w:val="333333"/>
                <w:sz w:val="16"/>
              </w:rPr>
              <w:tab/>
            </w:r>
            <w:r>
              <w:rPr>
                <w:sz w:val="22"/>
              </w:rPr>
              <w:t>An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acquire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apply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new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knowledge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as needed, using appropriate learning strategies</w:t>
            </w:r>
          </w:p>
        </w:tc>
        <w:tc>
          <w:tcPr>
            <w:tcW w:w="53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1"/>
        <w:ind w:left="720" w:right="440"/>
      </w:pPr>
      <w:r>
        <w:rPr>
          <w:position w:val="5"/>
          <w:sz w:val="14"/>
        </w:rPr>
        <w:t>*</w:t>
      </w:r>
      <w:r>
        <w:rPr/>
        <w:t>Coverage</w:t>
      </w:r>
      <w:r>
        <w:rPr>
          <w:spacing w:val="-3"/>
        </w:rPr>
        <w:t> </w:t>
      </w:r>
      <w:r>
        <w:rPr/>
        <w:t>is</w:t>
      </w:r>
      <w:r>
        <w:rPr>
          <w:spacing w:val="-1"/>
        </w:rPr>
        <w:t> </w:t>
      </w:r>
      <w:r>
        <w:rPr/>
        <w:t>given</w:t>
      </w:r>
      <w:r>
        <w:rPr>
          <w:spacing w:val="-2"/>
        </w:rPr>
        <w:t> </w:t>
      </w:r>
      <w:r>
        <w:rPr/>
        <w:t>as</w:t>
      </w:r>
      <w:r>
        <w:rPr>
          <w:spacing w:val="-3"/>
        </w:rPr>
        <w:t> </w:t>
      </w:r>
      <w:r>
        <w:rPr/>
        <w:t>high,</w:t>
      </w:r>
      <w:r>
        <w:rPr>
          <w:spacing w:val="-2"/>
        </w:rPr>
        <w:t> </w:t>
      </w:r>
      <w:r>
        <w:rPr/>
        <w:t>medium,</w:t>
      </w:r>
      <w:r>
        <w:rPr>
          <w:spacing w:val="-2"/>
        </w:rPr>
        <w:t> </w:t>
      </w:r>
      <w:r>
        <w:rPr/>
        <w:t>or</w:t>
      </w:r>
      <w:r>
        <w:rPr>
          <w:spacing w:val="-2"/>
        </w:rPr>
        <w:t> </w:t>
      </w:r>
      <w:r>
        <w:rPr/>
        <w:t>low.</w:t>
      </w:r>
      <w:r>
        <w:rPr>
          <w:spacing w:val="40"/>
        </w:rPr>
        <w:t> </w:t>
      </w:r>
      <w:r>
        <w:rPr/>
        <w:t>An</w:t>
      </w:r>
      <w:r>
        <w:rPr>
          <w:spacing w:val="-2"/>
        </w:rPr>
        <w:t> </w:t>
      </w:r>
      <w:r>
        <w:rPr/>
        <w:t>empty</w:t>
      </w:r>
      <w:r>
        <w:rPr>
          <w:spacing w:val="-3"/>
        </w:rPr>
        <w:t> </w:t>
      </w:r>
      <w:r>
        <w:rPr/>
        <w:t>box</w:t>
      </w:r>
      <w:r>
        <w:rPr>
          <w:spacing w:val="-2"/>
        </w:rPr>
        <w:t> </w:t>
      </w:r>
      <w:r>
        <w:rPr/>
        <w:t>indicates</w:t>
      </w:r>
      <w:r>
        <w:rPr>
          <w:spacing w:val="-3"/>
        </w:rPr>
        <w:t> </w:t>
      </w:r>
      <w:r>
        <w:rPr/>
        <w:t>that</w:t>
      </w:r>
      <w:r>
        <w:rPr>
          <w:spacing w:val="-2"/>
        </w:rPr>
        <w:t> </w:t>
      </w:r>
      <w:r>
        <w:rPr/>
        <w:t>this</w:t>
      </w:r>
      <w:r>
        <w:rPr>
          <w:spacing w:val="-1"/>
        </w:rPr>
        <w:t> </w:t>
      </w:r>
      <w:r>
        <w:rPr/>
        <w:t>outcome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not</w:t>
      </w:r>
      <w:r>
        <w:rPr>
          <w:spacing w:val="-3"/>
        </w:rPr>
        <w:t> </w:t>
      </w:r>
      <w:r>
        <w:rPr/>
        <w:t>covered</w:t>
      </w:r>
      <w:r>
        <w:rPr>
          <w:spacing w:val="-3"/>
        </w:rPr>
        <w:t> </w:t>
      </w:r>
      <w:r>
        <w:rPr/>
        <w:t>or assessed in the course.</w:t>
      </w:r>
    </w:p>
    <w:p>
      <w:pPr>
        <w:pStyle w:val="BodyText"/>
      </w:pPr>
    </w:p>
    <w:p>
      <w:pPr>
        <w:pStyle w:val="Heading3"/>
        <w:rPr>
          <w:i/>
        </w:rPr>
      </w:pPr>
      <w:r>
        <w:rPr>
          <w:i/>
        </w:rPr>
        <w:t>Required</w:t>
      </w:r>
      <w:r>
        <w:rPr>
          <w:i/>
          <w:spacing w:val="-11"/>
        </w:rPr>
        <w:t> </w:t>
      </w:r>
      <w:r>
        <w:rPr>
          <w:i/>
        </w:rPr>
        <w:t>Textbooks</w:t>
      </w:r>
      <w:r>
        <w:rPr>
          <w:i/>
          <w:spacing w:val="-12"/>
        </w:rPr>
        <w:t> </w:t>
      </w:r>
      <w:r>
        <w:rPr>
          <w:i/>
        </w:rPr>
        <w:t>and</w:t>
      </w:r>
      <w:r>
        <w:rPr>
          <w:i/>
          <w:spacing w:val="-10"/>
        </w:rPr>
        <w:t> </w:t>
      </w:r>
      <w:r>
        <w:rPr>
          <w:i/>
          <w:spacing w:val="-2"/>
        </w:rPr>
        <w:t>Software</w:t>
      </w:r>
    </w:p>
    <w:p>
      <w:pPr>
        <w:pStyle w:val="BodyText"/>
        <w:ind w:left="360"/>
      </w:pPr>
      <w:r>
        <w:rPr/>
        <w:t>None</w:t>
      </w:r>
      <w:r>
        <w:rPr>
          <w:spacing w:val="-6"/>
        </w:rPr>
        <w:t> </w:t>
      </w:r>
      <w:r>
        <w:rPr>
          <w:spacing w:val="-2"/>
        </w:rPr>
        <w:t>required</w:t>
      </w:r>
    </w:p>
    <w:p>
      <w:pPr>
        <w:pStyle w:val="Heading3"/>
        <w:rPr>
          <w:i/>
        </w:rPr>
      </w:pPr>
      <w:r>
        <w:rPr>
          <w:i/>
          <w:spacing w:val="-2"/>
        </w:rPr>
        <w:t>Recommended</w:t>
      </w:r>
      <w:r>
        <w:rPr>
          <w:i/>
          <w:spacing w:val="3"/>
        </w:rPr>
        <w:t> </w:t>
      </w:r>
      <w:r>
        <w:rPr>
          <w:i/>
          <w:spacing w:val="-2"/>
        </w:rPr>
        <w:t>Materials</w:t>
      </w:r>
    </w:p>
    <w:p>
      <w:pPr>
        <w:pStyle w:val="BodyText"/>
        <w:spacing w:before="1"/>
        <w:ind w:left="360"/>
      </w:pPr>
      <w:r>
        <w:rPr/>
        <w:t>Title:</w:t>
      </w:r>
      <w:r>
        <w:rPr>
          <w:spacing w:val="-12"/>
        </w:rPr>
        <w:t> </w:t>
      </w:r>
      <w:r>
        <w:rPr/>
        <w:t>Physical</w:t>
      </w:r>
      <w:r>
        <w:rPr>
          <w:spacing w:val="-12"/>
        </w:rPr>
        <w:t> </w:t>
      </w:r>
      <w:r>
        <w:rPr/>
        <w:t>Metallurgy</w:t>
      </w:r>
      <w:r>
        <w:rPr>
          <w:spacing w:val="-12"/>
        </w:rPr>
        <w:t> </w:t>
      </w:r>
      <w:r>
        <w:rPr/>
        <w:t>Principles,4th</w:t>
      </w:r>
      <w:r>
        <w:rPr>
          <w:spacing w:val="-11"/>
        </w:rPr>
        <w:t> </w:t>
      </w:r>
      <w:r>
        <w:rPr>
          <w:spacing w:val="-2"/>
        </w:rPr>
        <w:t>Edition</w:t>
      </w:r>
    </w:p>
    <w:p>
      <w:pPr>
        <w:pStyle w:val="BodyText"/>
        <w:ind w:left="360" w:right="4222"/>
      </w:pPr>
      <w:r>
        <w:rPr/>
        <w:t>Authors:</w:t>
      </w:r>
      <w:r>
        <w:rPr>
          <w:spacing w:val="-6"/>
        </w:rPr>
        <w:t> </w:t>
      </w:r>
      <w:r>
        <w:rPr/>
        <w:t>Reza</w:t>
      </w:r>
      <w:r>
        <w:rPr>
          <w:spacing w:val="-6"/>
        </w:rPr>
        <w:t> </w:t>
      </w:r>
      <w:r>
        <w:rPr/>
        <w:t>Abbaschian,</w:t>
      </w:r>
      <w:r>
        <w:rPr>
          <w:spacing w:val="-6"/>
        </w:rPr>
        <w:t> </w:t>
      </w:r>
      <w:r>
        <w:rPr/>
        <w:t>Lara</w:t>
      </w:r>
      <w:r>
        <w:rPr>
          <w:spacing w:val="-6"/>
        </w:rPr>
        <w:t> </w:t>
      </w:r>
      <w:r>
        <w:rPr/>
        <w:t>Abbaschian,</w:t>
      </w:r>
      <w:r>
        <w:rPr>
          <w:spacing w:val="-6"/>
        </w:rPr>
        <w:t> </w:t>
      </w:r>
      <w:r>
        <w:rPr/>
        <w:t>Robert</w:t>
      </w:r>
      <w:r>
        <w:rPr>
          <w:spacing w:val="-6"/>
        </w:rPr>
        <w:t> </w:t>
      </w:r>
      <w:r>
        <w:rPr/>
        <w:t>E.</w:t>
      </w:r>
      <w:r>
        <w:rPr>
          <w:spacing w:val="-6"/>
        </w:rPr>
        <w:t> </w:t>
      </w:r>
      <w:r>
        <w:rPr/>
        <w:t>Reed-Hill, Publisher: Cengage Learning</w:t>
      </w:r>
    </w:p>
    <w:p>
      <w:pPr>
        <w:pStyle w:val="BodyText"/>
        <w:ind w:left="360" w:right="5414"/>
      </w:pPr>
      <w:r>
        <w:rPr/>
        <w:t>Publication date and edition: 2010/1994, Fourth Edition ISBN</w:t>
      </w:r>
      <w:r>
        <w:rPr>
          <w:spacing w:val="-10"/>
        </w:rPr>
        <w:t> </w:t>
      </w:r>
      <w:r>
        <w:rPr/>
        <w:t>number:</w:t>
      </w:r>
      <w:r>
        <w:rPr>
          <w:spacing w:val="-10"/>
        </w:rPr>
        <w:t> </w:t>
      </w:r>
      <w:r>
        <w:rPr/>
        <w:t>13:</w:t>
      </w:r>
      <w:r>
        <w:rPr>
          <w:spacing w:val="-10"/>
        </w:rPr>
        <w:t> </w:t>
      </w:r>
      <w:r>
        <w:rPr/>
        <w:t>978-0-495-43851-9;</w:t>
      </w:r>
      <w:r>
        <w:rPr>
          <w:spacing w:val="-10"/>
        </w:rPr>
        <w:t> </w:t>
      </w:r>
      <w:r>
        <w:rPr/>
        <w:t>10:0-495-43851-0</w:t>
      </w:r>
    </w:p>
    <w:p>
      <w:pPr>
        <w:pStyle w:val="BodyText"/>
        <w:spacing w:line="258" w:lineRule="exact"/>
        <w:ind w:left="360"/>
      </w:pPr>
      <w:r>
        <w:rPr/>
        <w:t>Course</w:t>
      </w:r>
      <w:r>
        <w:rPr>
          <w:spacing w:val="-8"/>
        </w:rPr>
        <w:t> </w:t>
      </w:r>
      <w:r>
        <w:rPr/>
        <w:t>presentations</w:t>
      </w:r>
      <w:r>
        <w:rPr>
          <w:spacing w:val="-5"/>
        </w:rPr>
        <w:t> </w:t>
      </w:r>
      <w:r>
        <w:rPr/>
        <w:t>and</w:t>
      </w:r>
      <w:r>
        <w:rPr>
          <w:spacing w:val="-6"/>
        </w:rPr>
        <w:t> </w:t>
      </w:r>
      <w:r>
        <w:rPr/>
        <w:t>reference</w:t>
      </w:r>
      <w:r>
        <w:rPr>
          <w:spacing w:val="-6"/>
        </w:rPr>
        <w:t> </w:t>
      </w:r>
      <w:r>
        <w:rPr/>
        <w:t>material</w:t>
      </w:r>
      <w:r>
        <w:rPr>
          <w:spacing w:val="-6"/>
        </w:rPr>
        <w:t> </w:t>
      </w:r>
      <w:r>
        <w:rPr/>
        <w:t>to</w:t>
      </w:r>
      <w:r>
        <w:rPr>
          <w:spacing w:val="-7"/>
        </w:rPr>
        <w:t> </w:t>
      </w:r>
      <w:r>
        <w:rPr/>
        <w:t>be</w:t>
      </w:r>
      <w:r>
        <w:rPr>
          <w:spacing w:val="-7"/>
        </w:rPr>
        <w:t> </w:t>
      </w:r>
      <w:r>
        <w:rPr/>
        <w:t>provided</w:t>
      </w:r>
      <w:r>
        <w:rPr>
          <w:spacing w:val="-6"/>
        </w:rPr>
        <w:t> </w:t>
      </w:r>
      <w:r>
        <w:rPr/>
        <w:t>to</w:t>
      </w:r>
      <w:r>
        <w:rPr>
          <w:spacing w:val="-8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2"/>
        </w:rPr>
        <w:t>students</w:t>
      </w:r>
    </w:p>
    <w:p>
      <w:pPr>
        <w:pStyle w:val="Heading3"/>
        <w:spacing w:line="258" w:lineRule="exact"/>
        <w:rPr>
          <w:i/>
        </w:rPr>
      </w:pPr>
      <w:r>
        <w:rPr>
          <w:i/>
          <w:spacing w:val="-2"/>
        </w:rPr>
        <w:t>Required</w:t>
      </w:r>
      <w:r>
        <w:rPr>
          <w:i/>
          <w:spacing w:val="1"/>
        </w:rPr>
        <w:t> </w:t>
      </w:r>
      <w:r>
        <w:rPr>
          <w:i/>
          <w:spacing w:val="-2"/>
        </w:rPr>
        <w:t>Computer</w:t>
      </w:r>
    </w:p>
    <w:p>
      <w:pPr>
        <w:spacing w:before="0"/>
        <w:ind w:left="360" w:right="440" w:firstLine="0"/>
        <w:jc w:val="left"/>
        <w:rPr>
          <w:i/>
          <w:sz w:val="22"/>
        </w:rPr>
      </w:pPr>
      <w:r>
        <w:rPr>
          <w:sz w:val="22"/>
        </w:rPr>
        <w:t>Recommended Computer Specifications: </w:t>
      </w:r>
      <w:hyperlink r:id="rId7">
        <w:r>
          <w:rPr>
            <w:sz w:val="22"/>
          </w:rPr>
          <w:t>https://it.ufl.edu/get-help/student-computer-recommendations/</w:t>
        </w:r>
      </w:hyperlink>
      <w:r>
        <w:rPr>
          <w:sz w:val="22"/>
        </w:rPr>
        <w:t> </w:t>
      </w:r>
      <w:r>
        <w:rPr>
          <w:i/>
          <w:sz w:val="22"/>
        </w:rPr>
        <w:t>HWCOE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Computer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Requirements:</w:t>
      </w:r>
      <w:r>
        <w:rPr>
          <w:i/>
          <w:spacing w:val="-11"/>
          <w:sz w:val="22"/>
        </w:rPr>
        <w:t> </w:t>
      </w:r>
      <w:hyperlink r:id="rId8">
        <w:r>
          <w:rPr>
            <w:i/>
            <w:sz w:val="22"/>
          </w:rPr>
          <w:t>https://www.eng.ufl.edu/students/advising/fall-semester-checklist/computer-</w:t>
        </w:r>
      </w:hyperlink>
      <w:r>
        <w:rPr>
          <w:i/>
          <w:spacing w:val="-2"/>
          <w:sz w:val="22"/>
        </w:rPr>
        <w:t>requirements/</w:t>
      </w:r>
    </w:p>
    <w:p>
      <w:pPr>
        <w:pStyle w:val="Heading3"/>
        <w:rPr>
          <w:i/>
        </w:rPr>
      </w:pPr>
      <w:r>
        <w:rPr>
          <w:i/>
        </w:rPr>
        <w:t>Course</w:t>
      </w:r>
      <w:r>
        <w:rPr>
          <w:i/>
          <w:spacing w:val="-8"/>
        </w:rPr>
        <w:t> </w:t>
      </w:r>
      <w:r>
        <w:rPr>
          <w:i/>
          <w:spacing w:val="-2"/>
        </w:rPr>
        <w:t>Schedule:</w:t>
      </w:r>
    </w:p>
    <w:p>
      <w:pPr>
        <w:pStyle w:val="BodyText"/>
        <w:ind w:left="360"/>
      </w:pPr>
      <w:r>
        <w:rPr>
          <w:rFonts w:ascii="Arial"/>
          <w:sz w:val="20"/>
        </w:rPr>
        <w:t>B</w:t>
      </w:r>
      <w:r>
        <w:rPr/>
        <w:t>elow</w:t>
      </w:r>
      <w:r>
        <w:rPr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the</w:t>
      </w:r>
      <w:r>
        <w:rPr>
          <w:spacing w:val="-5"/>
        </w:rPr>
        <w:t> </w:t>
      </w:r>
      <w:r>
        <w:rPr/>
        <w:t>tentative</w:t>
      </w:r>
      <w:r>
        <w:rPr>
          <w:spacing w:val="-6"/>
        </w:rPr>
        <w:t> </w:t>
      </w:r>
      <w:r>
        <w:rPr/>
        <w:t>schedule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>
          <w:spacing w:val="-2"/>
        </w:rPr>
        <w:t>classes.</w:t>
      </w:r>
    </w:p>
    <w:p>
      <w:pPr>
        <w:pStyle w:val="BodyText"/>
        <w:spacing w:before="2"/>
        <w:rPr>
          <w:sz w:val="5"/>
        </w:rPr>
      </w:pPr>
    </w:p>
    <w:tbl>
      <w:tblPr>
        <w:tblW w:w="0" w:type="auto"/>
        <w:jc w:val="left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3"/>
        <w:gridCol w:w="8197"/>
      </w:tblGrid>
      <w:tr>
        <w:trPr>
          <w:trHeight w:val="275" w:hRule="atLeast"/>
        </w:trPr>
        <w:tc>
          <w:tcPr>
            <w:tcW w:w="803" w:type="dxa"/>
          </w:tcPr>
          <w:p>
            <w:pPr>
              <w:pStyle w:val="TableParagraph"/>
              <w:spacing w:line="255" w:lineRule="exact"/>
              <w:ind w:left="8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4"/>
                <w:sz w:val="24"/>
              </w:rPr>
              <w:t>Week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/>
              <w:ind w:left="7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4"/>
                <w:sz w:val="24"/>
              </w:rPr>
              <w:t>Topic</w:t>
            </w:r>
          </w:p>
        </w:tc>
      </w:tr>
      <w:tr>
        <w:trPr>
          <w:trHeight w:val="552" w:hRule="atLeast"/>
        </w:trPr>
        <w:tc>
          <w:tcPr>
            <w:tcW w:w="803" w:type="dxa"/>
          </w:tcPr>
          <w:p>
            <w:pPr>
              <w:pStyle w:val="TableParagraph"/>
              <w:spacing w:line="240" w:lineRule="auto" w:before="139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1</w:t>
            </w:r>
          </w:p>
        </w:tc>
        <w:tc>
          <w:tcPr>
            <w:tcW w:w="8197" w:type="dxa"/>
          </w:tcPr>
          <w:p>
            <w:pPr>
              <w:pStyle w:val="TableParagraph"/>
              <w:spacing w:line="270" w:lineRule="atLeas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Introduction,</w:t>
            </w:r>
            <w:r>
              <w:rPr>
                <w:rFonts w:ascii="Times New Roman"/>
                <w:spacing w:val="-6"/>
                <w:sz w:val="24"/>
              </w:rPr>
              <w:t> </w:t>
            </w:r>
            <w:r>
              <w:rPr>
                <w:rFonts w:ascii="Times New Roman"/>
                <w:sz w:val="24"/>
              </w:rPr>
              <w:t>Course</w:t>
            </w:r>
            <w:r>
              <w:rPr>
                <w:rFonts w:ascii="Times New Roman"/>
                <w:spacing w:val="-6"/>
                <w:sz w:val="24"/>
              </w:rPr>
              <w:t> </w:t>
            </w:r>
            <w:r>
              <w:rPr>
                <w:rFonts w:ascii="Times New Roman"/>
                <w:sz w:val="24"/>
              </w:rPr>
              <w:t>background/overview,</w:t>
            </w:r>
            <w:r>
              <w:rPr>
                <w:rFonts w:ascii="Times New Roman"/>
                <w:spacing w:val="-6"/>
                <w:sz w:val="24"/>
              </w:rPr>
              <w:t> </w:t>
            </w:r>
            <w:r>
              <w:rPr>
                <w:rFonts w:ascii="Times New Roman"/>
                <w:sz w:val="24"/>
              </w:rPr>
              <w:t>Background</w:t>
            </w:r>
            <w:r>
              <w:rPr>
                <w:rFonts w:ascii="Times New Roman"/>
                <w:spacing w:val="-6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on</w:t>
            </w:r>
            <w:r>
              <w:rPr>
                <w:rFonts w:ascii="Times New Roman"/>
                <w:spacing w:val="-6"/>
                <w:sz w:val="24"/>
              </w:rPr>
              <w:t> </w:t>
            </w:r>
            <w:r>
              <w:rPr>
                <w:rFonts w:ascii="Times New Roman"/>
                <w:sz w:val="24"/>
              </w:rPr>
              <w:t>types</w:t>
            </w:r>
            <w:r>
              <w:rPr>
                <w:rFonts w:ascii="Times New Roman"/>
                <w:spacing w:val="-7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and</w:t>
            </w:r>
            <w:r>
              <w:rPr>
                <w:rFonts w:ascii="Times New Roman"/>
                <w:spacing w:val="-6"/>
                <w:sz w:val="24"/>
              </w:rPr>
              <w:t> </w:t>
            </w:r>
            <w:r>
              <w:rPr>
                <w:rFonts w:ascii="Times New Roman"/>
                <w:sz w:val="24"/>
              </w:rPr>
              <w:t>heat treatments of steel, steel microstructures</w:t>
            </w:r>
          </w:p>
        </w:tc>
      </w:tr>
      <w:tr>
        <w:trPr>
          <w:trHeight w:val="275" w:hRule="atLeast"/>
        </w:trPr>
        <w:tc>
          <w:tcPr>
            <w:tcW w:w="803" w:type="dxa"/>
          </w:tcPr>
          <w:p>
            <w:pPr>
              <w:pStyle w:val="TableParagraph"/>
              <w:spacing w:line="255" w:lineRule="exact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2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Proposed heat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treatments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steel - </w:t>
            </w:r>
            <w:r>
              <w:rPr>
                <w:rFonts w:ascii="Times New Roman"/>
                <w:spacing w:val="-2"/>
                <w:sz w:val="24"/>
              </w:rPr>
              <w:t>presentations</w:t>
            </w:r>
          </w:p>
        </w:tc>
      </w:tr>
      <w:tr>
        <w:trPr>
          <w:trHeight w:val="275" w:hRule="atLeast"/>
        </w:trPr>
        <w:tc>
          <w:tcPr>
            <w:tcW w:w="803" w:type="dxa"/>
          </w:tcPr>
          <w:p>
            <w:pPr>
              <w:pStyle w:val="TableParagraph"/>
              <w:spacing w:line="255" w:lineRule="exact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3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Austenitizing,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quenching,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and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tempering </w:t>
            </w:r>
            <w:r>
              <w:rPr>
                <w:rFonts w:ascii="Times New Roman"/>
                <w:spacing w:val="-2"/>
                <w:sz w:val="24"/>
              </w:rPr>
              <w:t>experiments</w:t>
            </w:r>
          </w:p>
        </w:tc>
      </w:tr>
      <w:tr>
        <w:trPr>
          <w:trHeight w:val="276" w:hRule="atLeast"/>
        </w:trPr>
        <w:tc>
          <w:tcPr>
            <w:tcW w:w="803" w:type="dxa"/>
          </w:tcPr>
          <w:p>
            <w:pPr>
              <w:pStyle w:val="TableParagraph"/>
              <w:spacing w:line="255" w:lineRule="exact" w:before="1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4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 w:before="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Metallography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heat-treated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pacing w:val="-2"/>
                <w:sz w:val="24"/>
              </w:rPr>
              <w:t>steels</w:t>
            </w:r>
          </w:p>
        </w:tc>
      </w:tr>
      <w:tr>
        <w:trPr>
          <w:trHeight w:val="275" w:hRule="atLeast"/>
        </w:trPr>
        <w:tc>
          <w:tcPr>
            <w:tcW w:w="803" w:type="dxa"/>
          </w:tcPr>
          <w:p>
            <w:pPr>
              <w:pStyle w:val="TableParagraph"/>
              <w:spacing w:line="255" w:lineRule="exact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5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Reports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and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presentations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on steel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heat </w:t>
            </w:r>
            <w:r>
              <w:rPr>
                <w:rFonts w:ascii="Times New Roman"/>
                <w:spacing w:val="-2"/>
                <w:sz w:val="24"/>
              </w:rPr>
              <w:t>treating</w:t>
            </w:r>
          </w:p>
        </w:tc>
      </w:tr>
      <w:tr>
        <w:trPr>
          <w:trHeight w:val="275" w:hRule="atLeast"/>
        </w:trPr>
        <w:tc>
          <w:tcPr>
            <w:tcW w:w="803" w:type="dxa"/>
          </w:tcPr>
          <w:p>
            <w:pPr>
              <w:pStyle w:val="TableParagraph"/>
              <w:spacing w:line="255" w:lineRule="exact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6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Background on precipitation </w:t>
            </w:r>
            <w:r>
              <w:rPr>
                <w:rFonts w:ascii="Times New Roman"/>
                <w:spacing w:val="-2"/>
                <w:sz w:val="24"/>
              </w:rPr>
              <w:t>hardening</w:t>
            </w:r>
          </w:p>
        </w:tc>
      </w:tr>
      <w:tr>
        <w:trPr>
          <w:trHeight w:val="276" w:hRule="atLeast"/>
        </w:trPr>
        <w:tc>
          <w:tcPr>
            <w:tcW w:w="803" w:type="dxa"/>
          </w:tcPr>
          <w:p>
            <w:pPr>
              <w:pStyle w:val="TableParagraph"/>
              <w:spacing w:line="255" w:lineRule="exact" w:before="1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7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 w:before="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Precipitation</w:t>
            </w:r>
            <w:r>
              <w:rPr>
                <w:rFonts w:ascii="Times New Roman"/>
                <w:spacing w:val="-3"/>
                <w:sz w:val="24"/>
              </w:rPr>
              <w:t> </w:t>
            </w:r>
            <w:r>
              <w:rPr>
                <w:rFonts w:ascii="Times New Roman"/>
                <w:sz w:val="24"/>
              </w:rPr>
              <w:t>hardening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Aluminum</w:t>
            </w:r>
            <w:r>
              <w:rPr>
                <w:rFonts w:ascii="Times New Roman"/>
                <w:spacing w:val="-2"/>
                <w:sz w:val="24"/>
              </w:rPr>
              <w:t> alloys</w:t>
            </w:r>
          </w:p>
        </w:tc>
      </w:tr>
      <w:tr>
        <w:trPr>
          <w:trHeight w:val="275" w:hRule="atLeast"/>
        </w:trPr>
        <w:tc>
          <w:tcPr>
            <w:tcW w:w="803" w:type="dxa"/>
          </w:tcPr>
          <w:p>
            <w:pPr>
              <w:pStyle w:val="TableParagraph"/>
              <w:spacing w:line="255" w:lineRule="exact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8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Hardness</w:t>
            </w:r>
            <w:r>
              <w:rPr>
                <w:rFonts w:ascii="Times New Roman"/>
                <w:spacing w:val="-8"/>
                <w:sz w:val="24"/>
              </w:rPr>
              <w:t> </w:t>
            </w:r>
            <w:r>
              <w:rPr>
                <w:rFonts w:ascii="Times New Roman"/>
                <w:sz w:val="24"/>
              </w:rPr>
              <w:t>testing/</w:t>
            </w:r>
            <w:r>
              <w:rPr>
                <w:rFonts w:ascii="Times New Roman"/>
                <w:spacing w:val="-5"/>
                <w:sz w:val="24"/>
              </w:rPr>
              <w:t> SEM</w:t>
            </w:r>
          </w:p>
        </w:tc>
      </w:tr>
      <w:tr>
        <w:trPr>
          <w:trHeight w:val="275" w:hRule="atLeast"/>
        </w:trPr>
        <w:tc>
          <w:tcPr>
            <w:tcW w:w="803" w:type="dxa"/>
          </w:tcPr>
          <w:p>
            <w:pPr>
              <w:pStyle w:val="TableParagraph"/>
              <w:spacing w:line="255" w:lineRule="exact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9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Reports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and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presentations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on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precipitation </w:t>
            </w:r>
            <w:r>
              <w:rPr>
                <w:rFonts w:ascii="Times New Roman"/>
                <w:spacing w:val="-2"/>
                <w:sz w:val="24"/>
              </w:rPr>
              <w:t>hardening</w:t>
            </w:r>
          </w:p>
        </w:tc>
      </w:tr>
      <w:tr>
        <w:trPr>
          <w:trHeight w:val="276" w:hRule="atLeast"/>
        </w:trPr>
        <w:tc>
          <w:tcPr>
            <w:tcW w:w="803" w:type="dxa"/>
          </w:tcPr>
          <w:p>
            <w:pPr>
              <w:pStyle w:val="TableParagraph"/>
              <w:spacing w:line="255" w:lineRule="exact" w:before="1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10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 w:before="1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Background on forging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of </w:t>
            </w:r>
            <w:r>
              <w:rPr>
                <w:rFonts w:ascii="Times New Roman"/>
                <w:spacing w:val="-2"/>
                <w:sz w:val="24"/>
              </w:rPr>
              <w:t>metals</w:t>
            </w:r>
          </w:p>
        </w:tc>
      </w:tr>
      <w:tr>
        <w:trPr>
          <w:trHeight w:val="275" w:hRule="atLeast"/>
        </w:trPr>
        <w:tc>
          <w:tcPr>
            <w:tcW w:w="803" w:type="dxa"/>
          </w:tcPr>
          <w:p>
            <w:pPr>
              <w:pStyle w:val="TableParagraph"/>
              <w:spacing w:line="255" w:lineRule="exact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11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Forging</w:t>
            </w:r>
          </w:p>
        </w:tc>
      </w:tr>
      <w:tr>
        <w:trPr>
          <w:trHeight w:val="275" w:hRule="atLeast"/>
        </w:trPr>
        <w:tc>
          <w:tcPr>
            <w:tcW w:w="803" w:type="dxa"/>
          </w:tcPr>
          <w:p>
            <w:pPr>
              <w:pStyle w:val="TableParagraph"/>
              <w:spacing w:line="256" w:lineRule="exact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12</w:t>
            </w:r>
          </w:p>
        </w:tc>
        <w:tc>
          <w:tcPr>
            <w:tcW w:w="8197" w:type="dxa"/>
          </w:tcPr>
          <w:p>
            <w:pPr>
              <w:pStyle w:val="TableParagraph"/>
              <w:spacing w:line="256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SEM</w:t>
            </w:r>
          </w:p>
        </w:tc>
      </w:tr>
      <w:tr>
        <w:trPr>
          <w:trHeight w:val="276" w:hRule="atLeast"/>
        </w:trPr>
        <w:tc>
          <w:tcPr>
            <w:tcW w:w="803" w:type="dxa"/>
          </w:tcPr>
          <w:p>
            <w:pPr>
              <w:pStyle w:val="TableParagraph"/>
              <w:spacing w:line="255" w:lineRule="exact" w:before="1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13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 w:before="1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SEM</w:t>
            </w:r>
          </w:p>
        </w:tc>
      </w:tr>
      <w:tr>
        <w:trPr>
          <w:trHeight w:val="275" w:hRule="atLeast"/>
        </w:trPr>
        <w:tc>
          <w:tcPr>
            <w:tcW w:w="803" w:type="dxa"/>
          </w:tcPr>
          <w:p>
            <w:pPr>
              <w:pStyle w:val="TableParagraph"/>
              <w:spacing w:line="255" w:lineRule="exact"/>
              <w:ind w:left="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14</w:t>
            </w:r>
          </w:p>
        </w:tc>
        <w:tc>
          <w:tcPr>
            <w:tcW w:w="8197" w:type="dxa"/>
          </w:tcPr>
          <w:p>
            <w:pPr>
              <w:pStyle w:val="TableParagraph"/>
              <w:spacing w:line="255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Reports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and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presentations</w:t>
            </w:r>
            <w:r>
              <w:rPr>
                <w:rFonts w:ascii="Times New Roman"/>
                <w:spacing w:val="-2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on</w:t>
            </w:r>
            <w:r>
              <w:rPr>
                <w:rFonts w:ascii="Times New Roman"/>
                <w:spacing w:val="1"/>
                <w:sz w:val="24"/>
              </w:rPr>
              <w:t> </w:t>
            </w:r>
            <w:r>
              <w:rPr>
                <w:rFonts w:ascii="Times New Roman"/>
                <w:spacing w:val="-2"/>
                <w:sz w:val="24"/>
              </w:rPr>
              <w:t>forging</w:t>
            </w:r>
          </w:p>
        </w:tc>
      </w:tr>
    </w:tbl>
    <w:p>
      <w:pPr>
        <w:pStyle w:val="TableParagraph"/>
        <w:spacing w:after="0" w:line="255" w:lineRule="exact"/>
        <w:rPr>
          <w:rFonts w:ascii="Times New Roman"/>
          <w:sz w:val="24"/>
        </w:rPr>
        <w:sectPr>
          <w:type w:val="continuous"/>
          <w:pgSz w:w="12240" w:h="15840"/>
          <w:pgMar w:header="0" w:footer="989" w:top="700" w:bottom="1180" w:left="360" w:right="360"/>
        </w:sectPr>
      </w:pPr>
    </w:p>
    <w:p>
      <w:pPr>
        <w:pStyle w:val="Heading3"/>
        <w:spacing w:before="77"/>
        <w:rPr>
          <w:i/>
        </w:rPr>
      </w:pPr>
      <w:r>
        <w:rPr>
          <w:i/>
          <w:spacing w:val="-2"/>
        </w:rPr>
        <w:t>Important</w:t>
      </w:r>
      <w:r>
        <w:rPr>
          <w:i/>
          <w:spacing w:val="5"/>
        </w:rPr>
        <w:t> </w:t>
      </w:r>
      <w:r>
        <w:rPr>
          <w:i/>
          <w:spacing w:val="-2"/>
        </w:rPr>
        <w:t>Dates</w:t>
      </w:r>
    </w:p>
    <w:p>
      <w:pPr>
        <w:spacing w:before="1"/>
        <w:ind w:left="360" w:right="0" w:firstLine="0"/>
        <w:jc w:val="left"/>
        <w:rPr>
          <w:i/>
          <w:sz w:val="22"/>
        </w:rPr>
      </w:pPr>
      <w:r>
        <w:rPr>
          <w:i/>
          <w:sz w:val="22"/>
        </w:rPr>
        <w:t>To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be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discussed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in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class.</w:t>
      </w:r>
    </w:p>
    <w:p>
      <w:pPr>
        <w:pStyle w:val="Heading3"/>
        <w:spacing w:before="258"/>
        <w:rPr>
          <w:i/>
        </w:rPr>
      </w:pPr>
      <w:r>
        <w:rPr>
          <w:i/>
        </w:rPr>
        <w:t>Attendance</w:t>
      </w:r>
      <w:r>
        <w:rPr>
          <w:i/>
          <w:spacing w:val="-11"/>
        </w:rPr>
        <w:t> </w:t>
      </w:r>
      <w:r>
        <w:rPr>
          <w:i/>
          <w:spacing w:val="-2"/>
        </w:rPr>
        <w:t>Policy</w:t>
      </w:r>
    </w:p>
    <w:p>
      <w:pPr>
        <w:spacing w:before="0"/>
        <w:ind w:left="360" w:right="0" w:firstLine="0"/>
        <w:jc w:val="left"/>
        <w:rPr>
          <w:sz w:val="22"/>
        </w:rPr>
      </w:pPr>
      <w:r>
        <w:rPr>
          <w:i/>
          <w:sz w:val="22"/>
        </w:rPr>
        <w:t>Attendance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is</w:t>
      </w:r>
      <w:r>
        <w:rPr>
          <w:i/>
          <w:spacing w:val="-5"/>
          <w:sz w:val="22"/>
        </w:rPr>
        <w:t> </w:t>
      </w:r>
      <w:r>
        <w:rPr>
          <w:sz w:val="22"/>
        </w:rPr>
        <w:t>required</w:t>
      </w:r>
      <w:r>
        <w:rPr>
          <w:spacing w:val="-6"/>
          <w:sz w:val="22"/>
        </w:rPr>
        <w:t> </w:t>
      </w:r>
      <w:r>
        <w:rPr>
          <w:sz w:val="22"/>
        </w:rPr>
        <w:t>in</w:t>
      </w:r>
      <w:r>
        <w:rPr>
          <w:spacing w:val="-6"/>
          <w:sz w:val="22"/>
        </w:rPr>
        <w:t> </w:t>
      </w:r>
      <w:r>
        <w:rPr>
          <w:sz w:val="22"/>
        </w:rPr>
        <w:t>this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course.</w:t>
      </w:r>
    </w:p>
    <w:p>
      <w:pPr>
        <w:pStyle w:val="BodyText"/>
        <w:spacing w:before="257"/>
        <w:ind w:left="360" w:right="363"/>
      </w:pPr>
      <w:r>
        <w:rPr>
          <w:color w:val="006FC0"/>
        </w:rPr>
        <w:t>Requirements for class attendance and make-up exams, assignments, and other work in this course are consistent with university policies. Click here to read the university attendance policies: </w:t>
      </w:r>
      <w:hyperlink r:id="rId9">
        <w:r>
          <w:rPr>
            <w:color w:val="0000FF"/>
            <w:spacing w:val="-2"/>
            <w:u w:val="single" w:color="0000FF"/>
          </w:rPr>
          <w:t>https://catalog.ufl.edu/UGRD/academic-regulations/attendance-policies/</w:t>
        </w:r>
      </w:hyperlink>
    </w:p>
    <w:p>
      <w:pPr>
        <w:pStyle w:val="BodyText"/>
      </w:pPr>
    </w:p>
    <w:p>
      <w:pPr>
        <w:spacing w:before="0"/>
        <w:ind w:left="360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Evaluation</w:t>
      </w:r>
      <w:r>
        <w:rPr>
          <w:b/>
          <w:i/>
          <w:spacing w:val="-7"/>
          <w:sz w:val="22"/>
        </w:rPr>
        <w:t> </w:t>
      </w:r>
      <w:r>
        <w:rPr>
          <w:b/>
          <w:i/>
          <w:sz w:val="22"/>
        </w:rPr>
        <w:t>of</w:t>
      </w:r>
      <w:r>
        <w:rPr>
          <w:b/>
          <w:i/>
          <w:spacing w:val="-7"/>
          <w:sz w:val="22"/>
        </w:rPr>
        <w:t> </w:t>
      </w:r>
      <w:r>
        <w:rPr>
          <w:b/>
          <w:i/>
          <w:spacing w:val="-2"/>
          <w:sz w:val="22"/>
        </w:rPr>
        <w:t>Grades</w:t>
      </w:r>
    </w:p>
    <w:tbl>
      <w:tblPr>
        <w:tblW w:w="0" w:type="auto"/>
        <w:jc w:val="left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86"/>
        <w:gridCol w:w="2611"/>
      </w:tblGrid>
      <w:tr>
        <w:trPr>
          <w:trHeight w:val="515" w:hRule="atLeast"/>
        </w:trPr>
        <w:tc>
          <w:tcPr>
            <w:tcW w:w="4586" w:type="dxa"/>
          </w:tcPr>
          <w:p>
            <w:pPr>
              <w:pStyle w:val="TableParagraph"/>
              <w:spacing w:line="257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Assignment</w:t>
            </w:r>
          </w:p>
        </w:tc>
        <w:tc>
          <w:tcPr>
            <w:tcW w:w="2611" w:type="dxa"/>
          </w:tcPr>
          <w:p>
            <w:pPr>
              <w:pStyle w:val="TableParagraph"/>
              <w:spacing w:line="258" w:lineRule="exact"/>
              <w:ind w:left="999" w:hanging="664"/>
              <w:rPr>
                <w:b/>
                <w:sz w:val="22"/>
              </w:rPr>
            </w:pPr>
            <w:r>
              <w:rPr>
                <w:b/>
                <w:sz w:val="22"/>
              </w:rPr>
              <w:t>Percentage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Final </w:t>
            </w:r>
            <w:r>
              <w:rPr>
                <w:b/>
                <w:spacing w:val="-2"/>
                <w:sz w:val="22"/>
              </w:rPr>
              <w:t>Grade</w:t>
            </w:r>
          </w:p>
        </w:tc>
      </w:tr>
      <w:tr>
        <w:trPr>
          <w:trHeight w:val="258" w:hRule="atLeast"/>
        </w:trPr>
        <w:tc>
          <w:tcPr>
            <w:tcW w:w="4586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Reports</w:t>
            </w:r>
          </w:p>
        </w:tc>
        <w:tc>
          <w:tcPr>
            <w:tcW w:w="2611" w:type="dxa"/>
          </w:tcPr>
          <w:p>
            <w:pPr>
              <w:pStyle w:val="TableParagraph"/>
              <w:ind w:lef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60%</w:t>
            </w:r>
          </w:p>
        </w:tc>
      </w:tr>
      <w:tr>
        <w:trPr>
          <w:trHeight w:val="257" w:hRule="atLeast"/>
        </w:trPr>
        <w:tc>
          <w:tcPr>
            <w:tcW w:w="4586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Presentations</w:t>
            </w:r>
          </w:p>
        </w:tc>
        <w:tc>
          <w:tcPr>
            <w:tcW w:w="2611" w:type="dxa"/>
          </w:tcPr>
          <w:p>
            <w:pPr>
              <w:pStyle w:val="TableParagraph"/>
              <w:ind w:lef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40%</w:t>
            </w:r>
          </w:p>
        </w:tc>
      </w:tr>
      <w:tr>
        <w:trPr>
          <w:trHeight w:val="258" w:hRule="atLeast"/>
        </w:trPr>
        <w:tc>
          <w:tcPr>
            <w:tcW w:w="4586" w:type="dxa"/>
          </w:tcPr>
          <w:p>
            <w:pPr>
              <w:pStyle w:val="TableParagraph"/>
              <w:spacing w:line="23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Total</w:t>
            </w:r>
          </w:p>
        </w:tc>
        <w:tc>
          <w:tcPr>
            <w:tcW w:w="2611" w:type="dxa"/>
          </w:tcPr>
          <w:p>
            <w:pPr>
              <w:pStyle w:val="TableParagraph"/>
              <w:spacing w:line="239" w:lineRule="exact"/>
              <w:ind w:left="5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100%</w:t>
            </w:r>
          </w:p>
        </w:tc>
      </w:tr>
    </w:tbl>
    <w:p>
      <w:pPr>
        <w:pStyle w:val="BodyText"/>
        <w:spacing w:before="1"/>
        <w:rPr>
          <w:b/>
          <w:i/>
        </w:rPr>
      </w:pPr>
    </w:p>
    <w:p>
      <w:pPr>
        <w:spacing w:before="0"/>
        <w:ind w:left="360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Grading</w:t>
      </w:r>
      <w:r>
        <w:rPr>
          <w:b/>
          <w:i/>
          <w:spacing w:val="-9"/>
          <w:sz w:val="22"/>
        </w:rPr>
        <w:t> </w:t>
      </w:r>
      <w:r>
        <w:rPr>
          <w:b/>
          <w:i/>
          <w:spacing w:val="-2"/>
          <w:sz w:val="22"/>
        </w:rPr>
        <w:t>Policy</w:t>
      </w:r>
    </w:p>
    <w:tbl>
      <w:tblPr>
        <w:tblW w:w="0" w:type="auto"/>
        <w:jc w:val="left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0"/>
        <w:gridCol w:w="990"/>
        <w:gridCol w:w="1170"/>
      </w:tblGrid>
      <w:tr>
        <w:trPr>
          <w:trHeight w:val="516" w:hRule="atLeast"/>
        </w:trPr>
        <w:tc>
          <w:tcPr>
            <w:tcW w:w="1350" w:type="dxa"/>
          </w:tcPr>
          <w:p>
            <w:pPr>
              <w:pStyle w:val="TableParagraph"/>
              <w:spacing w:line="240" w:lineRule="auto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Percent</w:t>
            </w:r>
          </w:p>
        </w:tc>
        <w:tc>
          <w:tcPr>
            <w:tcW w:w="990" w:type="dxa"/>
          </w:tcPr>
          <w:p>
            <w:pPr>
              <w:pStyle w:val="TableParagraph"/>
              <w:spacing w:line="240" w:lineRule="auto"/>
              <w:ind w:left="108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Grade</w:t>
            </w:r>
          </w:p>
        </w:tc>
        <w:tc>
          <w:tcPr>
            <w:tcW w:w="1170" w:type="dxa"/>
          </w:tcPr>
          <w:p>
            <w:pPr>
              <w:pStyle w:val="TableParagraph"/>
              <w:spacing w:line="250" w:lineRule="atLeast"/>
              <w:ind w:left="108" w:right="400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Grade </w:t>
            </w:r>
            <w:r>
              <w:rPr>
                <w:b/>
                <w:spacing w:val="-2"/>
                <w:sz w:val="22"/>
              </w:rPr>
              <w:t>Points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92.0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5"/>
                <w:sz w:val="22"/>
              </w:rPr>
              <w:t>100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10"/>
                <w:sz w:val="22"/>
              </w:rPr>
              <w:t>A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4.00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88.0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91.9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A-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3.67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84.0</w:t>
            </w:r>
            <w:r>
              <w:rPr>
                <w:color w:val="006FC0"/>
                <w:spacing w:val="-5"/>
                <w:sz w:val="22"/>
              </w:rPr>
              <w:t> </w:t>
            </w:r>
            <w:r>
              <w:rPr>
                <w:color w:val="006FC0"/>
                <w:sz w:val="22"/>
              </w:rPr>
              <w:t>–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87.9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B+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3.33</w:t>
            </w:r>
          </w:p>
        </w:tc>
      </w:tr>
      <w:tr>
        <w:trPr>
          <w:trHeight w:val="258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80.0</w:t>
            </w:r>
            <w:r>
              <w:rPr>
                <w:color w:val="006FC0"/>
                <w:spacing w:val="-5"/>
                <w:sz w:val="22"/>
              </w:rPr>
              <w:t> </w:t>
            </w:r>
            <w:r>
              <w:rPr>
                <w:color w:val="006FC0"/>
                <w:sz w:val="22"/>
              </w:rPr>
              <w:t>–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83.9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10"/>
                <w:sz w:val="22"/>
              </w:rPr>
              <w:t>B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3.00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76.0</w:t>
            </w:r>
            <w:r>
              <w:rPr>
                <w:color w:val="006FC0"/>
                <w:spacing w:val="-4"/>
                <w:sz w:val="22"/>
              </w:rPr>
              <w:t> </w:t>
            </w:r>
            <w:r>
              <w:rPr>
                <w:color w:val="006FC0"/>
                <w:sz w:val="22"/>
              </w:rPr>
              <w:t>-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79.9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B-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2.67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72.0</w:t>
            </w:r>
            <w:r>
              <w:rPr>
                <w:color w:val="006FC0"/>
                <w:spacing w:val="-5"/>
                <w:sz w:val="22"/>
              </w:rPr>
              <w:t> </w:t>
            </w:r>
            <w:r>
              <w:rPr>
                <w:color w:val="006FC0"/>
                <w:sz w:val="22"/>
              </w:rPr>
              <w:t>–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75.9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C+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2.33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68.0</w:t>
            </w:r>
            <w:r>
              <w:rPr>
                <w:color w:val="006FC0"/>
                <w:spacing w:val="-5"/>
                <w:sz w:val="22"/>
              </w:rPr>
              <w:t> </w:t>
            </w:r>
            <w:r>
              <w:rPr>
                <w:color w:val="006FC0"/>
                <w:sz w:val="22"/>
              </w:rPr>
              <w:t>–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71.9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10"/>
                <w:sz w:val="22"/>
              </w:rPr>
              <w:t>C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2.00</w:t>
            </w:r>
          </w:p>
        </w:tc>
      </w:tr>
      <w:tr>
        <w:trPr>
          <w:trHeight w:val="259" w:hRule="atLeast"/>
        </w:trPr>
        <w:tc>
          <w:tcPr>
            <w:tcW w:w="1350" w:type="dxa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color w:val="006FC0"/>
                <w:sz w:val="22"/>
              </w:rPr>
              <w:t>65.0</w:t>
            </w:r>
            <w:r>
              <w:rPr>
                <w:color w:val="006FC0"/>
                <w:spacing w:val="-5"/>
                <w:sz w:val="22"/>
              </w:rPr>
              <w:t> </w:t>
            </w:r>
            <w:r>
              <w:rPr>
                <w:color w:val="006FC0"/>
                <w:sz w:val="22"/>
              </w:rPr>
              <w:t>–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67.9</w:t>
            </w:r>
          </w:p>
        </w:tc>
        <w:tc>
          <w:tcPr>
            <w:tcW w:w="990" w:type="dxa"/>
          </w:tcPr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C-</w:t>
            </w:r>
          </w:p>
        </w:tc>
        <w:tc>
          <w:tcPr>
            <w:tcW w:w="1170" w:type="dxa"/>
          </w:tcPr>
          <w:p>
            <w:pPr>
              <w:pStyle w:val="TableParagraph"/>
              <w:spacing w:before="1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1.67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62.0</w:t>
            </w:r>
            <w:r>
              <w:rPr>
                <w:color w:val="006FC0"/>
                <w:spacing w:val="-5"/>
                <w:sz w:val="22"/>
              </w:rPr>
              <w:t> </w:t>
            </w:r>
            <w:r>
              <w:rPr>
                <w:color w:val="006FC0"/>
                <w:sz w:val="22"/>
              </w:rPr>
              <w:t>–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64.9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D+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1.33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59.0</w:t>
            </w:r>
            <w:r>
              <w:rPr>
                <w:color w:val="006FC0"/>
                <w:spacing w:val="-5"/>
                <w:sz w:val="22"/>
              </w:rPr>
              <w:t> </w:t>
            </w:r>
            <w:r>
              <w:rPr>
                <w:color w:val="006FC0"/>
                <w:sz w:val="22"/>
              </w:rPr>
              <w:t>–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61.9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10"/>
                <w:sz w:val="22"/>
              </w:rPr>
              <w:t>D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1.00</w:t>
            </w:r>
          </w:p>
        </w:tc>
      </w:tr>
      <w:tr>
        <w:trPr>
          <w:trHeight w:val="258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56.0</w:t>
            </w:r>
            <w:r>
              <w:rPr>
                <w:color w:val="006FC0"/>
                <w:spacing w:val="-5"/>
                <w:sz w:val="22"/>
              </w:rPr>
              <w:t> </w:t>
            </w:r>
            <w:r>
              <w:rPr>
                <w:color w:val="006FC0"/>
                <w:sz w:val="22"/>
              </w:rPr>
              <w:t>–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58.9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5"/>
                <w:sz w:val="22"/>
              </w:rPr>
              <w:t>D-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0.67</w:t>
            </w:r>
          </w:p>
        </w:tc>
      </w:tr>
      <w:tr>
        <w:trPr>
          <w:trHeight w:val="257" w:hRule="atLeast"/>
        </w:trPr>
        <w:tc>
          <w:tcPr>
            <w:tcW w:w="13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color w:val="006FC0"/>
                <w:sz w:val="22"/>
              </w:rPr>
              <w:t>0.00</w:t>
            </w:r>
            <w:r>
              <w:rPr>
                <w:color w:val="006FC0"/>
                <w:spacing w:val="-5"/>
                <w:sz w:val="22"/>
              </w:rPr>
              <w:t> </w:t>
            </w:r>
            <w:r>
              <w:rPr>
                <w:color w:val="006FC0"/>
                <w:sz w:val="22"/>
              </w:rPr>
              <w:t>–</w:t>
            </w:r>
            <w:r>
              <w:rPr>
                <w:color w:val="006FC0"/>
                <w:spacing w:val="-2"/>
                <w:sz w:val="22"/>
              </w:rPr>
              <w:t> </w:t>
            </w:r>
            <w:r>
              <w:rPr>
                <w:color w:val="006FC0"/>
                <w:spacing w:val="-4"/>
                <w:sz w:val="22"/>
              </w:rPr>
              <w:t>55.9</w:t>
            </w:r>
          </w:p>
        </w:tc>
        <w:tc>
          <w:tcPr>
            <w:tcW w:w="99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10"/>
                <w:sz w:val="22"/>
              </w:rPr>
              <w:t>E</w:t>
            </w:r>
          </w:p>
        </w:tc>
        <w:tc>
          <w:tcPr>
            <w:tcW w:w="1170" w:type="dxa"/>
          </w:tcPr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006FC0"/>
                <w:spacing w:val="-4"/>
                <w:sz w:val="22"/>
              </w:rPr>
              <w:t>0.00</w:t>
            </w:r>
          </w:p>
        </w:tc>
      </w:tr>
    </w:tbl>
    <w:p>
      <w:pPr>
        <w:pStyle w:val="BodyText"/>
        <w:spacing w:before="7"/>
        <w:rPr>
          <w:b/>
          <w:i/>
        </w:rPr>
      </w:pPr>
    </w:p>
    <w:p>
      <w:pPr>
        <w:spacing w:before="0"/>
        <w:ind w:left="360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Academic</w:t>
      </w:r>
      <w:r>
        <w:rPr>
          <w:b/>
          <w:i/>
          <w:spacing w:val="-10"/>
          <w:sz w:val="22"/>
        </w:rPr>
        <w:t> </w:t>
      </w:r>
      <w:r>
        <w:rPr>
          <w:b/>
          <w:i/>
          <w:sz w:val="22"/>
        </w:rPr>
        <w:t>Policies</w:t>
      </w:r>
      <w:r>
        <w:rPr>
          <w:b/>
          <w:i/>
          <w:spacing w:val="-11"/>
          <w:sz w:val="22"/>
        </w:rPr>
        <w:t> </w:t>
      </w:r>
      <w:r>
        <w:rPr>
          <w:b/>
          <w:i/>
          <w:sz w:val="22"/>
        </w:rPr>
        <w:t>&amp;</w:t>
      </w:r>
      <w:r>
        <w:rPr>
          <w:b/>
          <w:i/>
          <w:spacing w:val="-11"/>
          <w:sz w:val="22"/>
        </w:rPr>
        <w:t> </w:t>
      </w:r>
      <w:r>
        <w:rPr>
          <w:b/>
          <w:i/>
          <w:spacing w:val="-2"/>
          <w:sz w:val="22"/>
        </w:rPr>
        <w:t>Resources</w:t>
      </w:r>
    </w:p>
    <w:p>
      <w:pPr>
        <w:pStyle w:val="BodyText"/>
        <w:ind w:left="360" w:right="367"/>
      </w:pPr>
      <w:r>
        <w:rPr/>
        <w:t>To support consistent and accessible communication of university-wide student resources, instructors must include</w:t>
      </w:r>
      <w:r>
        <w:rPr>
          <w:spacing w:val="-5"/>
        </w:rPr>
        <w:t> </w:t>
      </w:r>
      <w:r>
        <w:rPr/>
        <w:t>this</w:t>
      </w:r>
      <w:r>
        <w:rPr>
          <w:spacing w:val="-5"/>
        </w:rPr>
        <w:t> </w:t>
      </w:r>
      <w:r>
        <w:rPr/>
        <w:t>link</w:t>
      </w:r>
      <w:r>
        <w:rPr>
          <w:spacing w:val="-5"/>
        </w:rPr>
        <w:t> </w:t>
      </w:r>
      <w:r>
        <w:rPr/>
        <w:t>to</w:t>
      </w:r>
      <w:r>
        <w:rPr>
          <w:spacing w:val="-4"/>
        </w:rPr>
        <w:t> </w:t>
      </w:r>
      <w:r>
        <w:rPr/>
        <w:t>academic</w:t>
      </w:r>
      <w:r>
        <w:rPr>
          <w:spacing w:val="-5"/>
        </w:rPr>
        <w:t> </w:t>
      </w:r>
      <w:r>
        <w:rPr/>
        <w:t>policies</w:t>
      </w:r>
      <w:r>
        <w:rPr>
          <w:spacing w:val="-4"/>
        </w:rPr>
        <w:t> </w:t>
      </w:r>
      <w:r>
        <w:rPr/>
        <w:t>and</w:t>
      </w:r>
      <w:r>
        <w:rPr>
          <w:spacing w:val="-5"/>
        </w:rPr>
        <w:t> </w:t>
      </w:r>
      <w:r>
        <w:rPr/>
        <w:t>campus</w:t>
      </w:r>
      <w:r>
        <w:rPr>
          <w:spacing w:val="-3"/>
        </w:rPr>
        <w:t> </w:t>
      </w:r>
      <w:r>
        <w:rPr/>
        <w:t>resources:</w:t>
      </w:r>
      <w:r>
        <w:rPr>
          <w:spacing w:val="-3"/>
        </w:rPr>
        <w:t> </w:t>
      </w:r>
      <w:hyperlink r:id="rId10">
        <w:r>
          <w:rPr>
            <w:color w:val="0000FF"/>
            <w:u w:val="single" w:color="0000FF"/>
          </w:rPr>
          <w:t>https://go.ufl.edu/syllabuspolicies</w:t>
        </w:r>
        <w:r>
          <w:rPr>
            <w:u w:val="none"/>
          </w:rPr>
          <w:t>.</w:t>
        </w:r>
      </w:hyperlink>
      <w:r>
        <w:rPr>
          <w:spacing w:val="-5"/>
          <w:u w:val="none"/>
        </w:rPr>
        <w:t> </w:t>
      </w:r>
      <w:r>
        <w:rPr>
          <w:u w:val="none"/>
        </w:rPr>
        <w:t>Instructor-specific guidelines for courses must accommodate these policies.</w:t>
      </w:r>
    </w:p>
    <w:p>
      <w:pPr>
        <w:pStyle w:val="BodyText"/>
      </w:pPr>
    </w:p>
    <w:p>
      <w:pPr>
        <w:pStyle w:val="Heading3"/>
        <w:spacing w:before="1"/>
        <w:rPr>
          <w:i/>
        </w:rPr>
      </w:pPr>
      <w:r>
        <w:rPr>
          <w:i/>
        </w:rPr>
        <w:t>Commitment</w:t>
      </w:r>
      <w:r>
        <w:rPr>
          <w:i/>
          <w:spacing w:val="-9"/>
        </w:rPr>
        <w:t> </w:t>
      </w:r>
      <w:r>
        <w:rPr>
          <w:i/>
        </w:rPr>
        <w:t>to</w:t>
      </w:r>
      <w:r>
        <w:rPr>
          <w:i/>
          <w:spacing w:val="-9"/>
        </w:rPr>
        <w:t> </w:t>
      </w:r>
      <w:r>
        <w:rPr>
          <w:i/>
        </w:rPr>
        <w:t>a</w:t>
      </w:r>
      <w:r>
        <w:rPr>
          <w:i/>
          <w:spacing w:val="-9"/>
        </w:rPr>
        <w:t> </w:t>
      </w:r>
      <w:r>
        <w:rPr>
          <w:i/>
        </w:rPr>
        <w:t>Positive</w:t>
      </w:r>
      <w:r>
        <w:rPr>
          <w:i/>
          <w:spacing w:val="-8"/>
        </w:rPr>
        <w:t> </w:t>
      </w:r>
      <w:r>
        <w:rPr>
          <w:i/>
        </w:rPr>
        <w:t>Learning</w:t>
      </w:r>
      <w:r>
        <w:rPr>
          <w:i/>
          <w:spacing w:val="-7"/>
        </w:rPr>
        <w:t> </w:t>
      </w:r>
      <w:r>
        <w:rPr>
          <w:i/>
          <w:spacing w:val="-2"/>
        </w:rPr>
        <w:t>Environment</w:t>
      </w:r>
    </w:p>
    <w:p>
      <w:pPr>
        <w:pStyle w:val="BodyText"/>
        <w:ind w:left="360"/>
      </w:pPr>
      <w:r>
        <w:rPr/>
        <w:t>The</w:t>
      </w:r>
      <w:r>
        <w:rPr>
          <w:spacing w:val="55"/>
        </w:rPr>
        <w:t> </w:t>
      </w:r>
      <w:r>
        <w:rPr/>
        <w:t>Herbert</w:t>
      </w:r>
      <w:r>
        <w:rPr>
          <w:spacing w:val="54"/>
        </w:rPr>
        <w:t> </w:t>
      </w:r>
      <w:r>
        <w:rPr/>
        <w:t>Wertheim</w:t>
      </w:r>
      <w:r>
        <w:rPr>
          <w:spacing w:val="55"/>
        </w:rPr>
        <w:t> </w:t>
      </w:r>
      <w:r>
        <w:rPr/>
        <w:t>College</w:t>
      </w:r>
      <w:r>
        <w:rPr>
          <w:spacing w:val="55"/>
        </w:rPr>
        <w:t> </w:t>
      </w:r>
      <w:r>
        <w:rPr/>
        <w:t>of</w:t>
      </w:r>
      <w:r>
        <w:rPr>
          <w:spacing w:val="56"/>
        </w:rPr>
        <w:t> </w:t>
      </w:r>
      <w:r>
        <w:rPr/>
        <w:t>Engineering</w:t>
      </w:r>
      <w:r>
        <w:rPr>
          <w:spacing w:val="55"/>
        </w:rPr>
        <w:t> </w:t>
      </w:r>
      <w:r>
        <w:rPr/>
        <w:t>values</w:t>
      </w:r>
      <w:r>
        <w:rPr>
          <w:spacing w:val="55"/>
        </w:rPr>
        <w:t> </w:t>
      </w:r>
      <w:r>
        <w:rPr/>
        <w:t>varied</w:t>
      </w:r>
      <w:r>
        <w:rPr>
          <w:spacing w:val="55"/>
        </w:rPr>
        <w:t> </w:t>
      </w:r>
      <w:r>
        <w:rPr/>
        <w:t>perspectives</w:t>
      </w:r>
      <w:r>
        <w:rPr>
          <w:spacing w:val="55"/>
        </w:rPr>
        <w:t> </w:t>
      </w:r>
      <w:r>
        <w:rPr/>
        <w:t>and</w:t>
      </w:r>
      <w:r>
        <w:rPr>
          <w:spacing w:val="55"/>
        </w:rPr>
        <w:t> </w:t>
      </w:r>
      <w:r>
        <w:rPr/>
        <w:t>lived</w:t>
      </w:r>
      <w:r>
        <w:rPr>
          <w:spacing w:val="55"/>
        </w:rPr>
        <w:t> </w:t>
      </w:r>
      <w:r>
        <w:rPr/>
        <w:t>experiences</w:t>
      </w:r>
      <w:r>
        <w:rPr>
          <w:spacing w:val="54"/>
        </w:rPr>
        <w:t> </w:t>
      </w:r>
      <w:r>
        <w:rPr/>
        <w:t>within</w:t>
      </w:r>
      <w:r>
        <w:rPr>
          <w:spacing w:val="56"/>
        </w:rPr>
        <w:t> </w:t>
      </w:r>
      <w:r>
        <w:rPr>
          <w:spacing w:val="-5"/>
        </w:rPr>
        <w:t>our</w:t>
      </w:r>
    </w:p>
    <w:p>
      <w:pPr>
        <w:pStyle w:val="BodyText"/>
        <w:ind w:left="360"/>
      </w:pPr>
      <w:r>
        <w:rPr/>
        <w:t>community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/>
        <w:t>is</w:t>
      </w:r>
      <w:r>
        <w:rPr>
          <w:spacing w:val="-9"/>
        </w:rPr>
        <w:t> </w:t>
      </w:r>
      <w:r>
        <w:rPr/>
        <w:t>committed</w:t>
      </w:r>
      <w:r>
        <w:rPr>
          <w:spacing w:val="-9"/>
        </w:rPr>
        <w:t> </w:t>
      </w:r>
      <w:r>
        <w:rPr/>
        <w:t>to</w:t>
      </w:r>
      <w:r>
        <w:rPr>
          <w:spacing w:val="-8"/>
        </w:rPr>
        <w:t> </w:t>
      </w:r>
      <w:r>
        <w:rPr/>
        <w:t>supporting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University’s</w:t>
      </w:r>
      <w:r>
        <w:rPr>
          <w:spacing w:val="-8"/>
        </w:rPr>
        <w:t> </w:t>
      </w:r>
      <w:r>
        <w:rPr/>
        <w:t>core</w:t>
      </w:r>
      <w:r>
        <w:rPr>
          <w:spacing w:val="-9"/>
        </w:rPr>
        <w:t> </w:t>
      </w:r>
      <w:r>
        <w:rPr>
          <w:spacing w:val="-2"/>
        </w:rPr>
        <w:t>values.</w:t>
      </w:r>
    </w:p>
    <w:p>
      <w:pPr>
        <w:pStyle w:val="BodyText"/>
        <w:spacing w:before="257"/>
        <w:ind w:left="360"/>
      </w:pPr>
      <w:r>
        <w:rPr/>
        <w:t>If</w:t>
      </w:r>
      <w:r>
        <w:rPr>
          <w:spacing w:val="-7"/>
        </w:rPr>
        <w:t> </w:t>
      </w:r>
      <w:r>
        <w:rPr/>
        <w:t>you</w:t>
      </w:r>
      <w:r>
        <w:rPr>
          <w:spacing w:val="-5"/>
        </w:rPr>
        <w:t> </w:t>
      </w:r>
      <w:r>
        <w:rPr/>
        <w:t>feel</w:t>
      </w:r>
      <w:r>
        <w:rPr>
          <w:spacing w:val="-6"/>
        </w:rPr>
        <w:t> </w:t>
      </w:r>
      <w:r>
        <w:rPr/>
        <w:t>like</w:t>
      </w:r>
      <w:r>
        <w:rPr>
          <w:spacing w:val="-6"/>
        </w:rPr>
        <w:t> </w:t>
      </w:r>
      <w:r>
        <w:rPr/>
        <w:t>your</w:t>
      </w:r>
      <w:r>
        <w:rPr>
          <w:spacing w:val="-6"/>
        </w:rPr>
        <w:t> </w:t>
      </w:r>
      <w:r>
        <w:rPr/>
        <w:t>performance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class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being</w:t>
      </w:r>
      <w:r>
        <w:rPr>
          <w:spacing w:val="-7"/>
        </w:rPr>
        <w:t> </w:t>
      </w:r>
      <w:r>
        <w:rPr/>
        <w:t>impacted,</w:t>
      </w:r>
      <w:r>
        <w:rPr>
          <w:spacing w:val="-5"/>
        </w:rPr>
        <w:t> </w:t>
      </w:r>
      <w:r>
        <w:rPr/>
        <w:t>please</w:t>
      </w:r>
      <w:r>
        <w:rPr>
          <w:spacing w:val="-6"/>
        </w:rPr>
        <w:t> </w:t>
      </w:r>
      <w:r>
        <w:rPr/>
        <w:t>contact</w:t>
      </w:r>
      <w:r>
        <w:rPr>
          <w:spacing w:val="-5"/>
        </w:rPr>
        <w:t> </w:t>
      </w:r>
      <w:r>
        <w:rPr/>
        <w:t>your</w:t>
      </w:r>
      <w:r>
        <w:rPr>
          <w:spacing w:val="-6"/>
        </w:rPr>
        <w:t> </w:t>
      </w:r>
      <w:r>
        <w:rPr/>
        <w:t>instructor</w:t>
      </w:r>
      <w:r>
        <w:rPr>
          <w:spacing w:val="-6"/>
        </w:rPr>
        <w:t> </w:t>
      </w:r>
      <w:r>
        <w:rPr/>
        <w:t>or</w:t>
      </w:r>
      <w:r>
        <w:rPr>
          <w:spacing w:val="-5"/>
        </w:rPr>
        <w:t> </w:t>
      </w:r>
      <w:r>
        <w:rPr/>
        <w:t>any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2"/>
        </w:rPr>
        <w:t>following: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40" w:lineRule="auto" w:before="0" w:after="0"/>
        <w:ind w:left="504" w:right="0" w:hanging="144"/>
        <w:jc w:val="left"/>
        <w:rPr>
          <w:sz w:val="22"/>
        </w:rPr>
      </w:pPr>
      <w:r>
        <w:rPr>
          <w:sz w:val="22"/>
        </w:rPr>
        <w:t>Your</w:t>
      </w:r>
      <w:r>
        <w:rPr>
          <w:spacing w:val="-9"/>
          <w:sz w:val="22"/>
        </w:rPr>
        <w:t> </w:t>
      </w:r>
      <w:r>
        <w:rPr>
          <w:sz w:val="22"/>
        </w:rPr>
        <w:t>academic</w:t>
      </w:r>
      <w:r>
        <w:rPr>
          <w:spacing w:val="-8"/>
          <w:sz w:val="22"/>
        </w:rPr>
        <w:t> </w:t>
      </w:r>
      <w:r>
        <w:rPr>
          <w:sz w:val="22"/>
        </w:rPr>
        <w:t>advisor</w:t>
      </w:r>
      <w:r>
        <w:rPr>
          <w:spacing w:val="-6"/>
          <w:sz w:val="22"/>
        </w:rPr>
        <w:t> </w:t>
      </w:r>
      <w:r>
        <w:rPr>
          <w:sz w:val="22"/>
        </w:rPr>
        <w:t>or</w:t>
      </w:r>
      <w:r>
        <w:rPr>
          <w:spacing w:val="-8"/>
          <w:sz w:val="22"/>
        </w:rPr>
        <w:t> </w:t>
      </w:r>
      <w:r>
        <w:rPr>
          <w:sz w:val="22"/>
        </w:rPr>
        <w:t>Undergraduate</w:t>
      </w:r>
      <w:r>
        <w:rPr>
          <w:spacing w:val="-9"/>
          <w:sz w:val="22"/>
        </w:rPr>
        <w:t> </w:t>
      </w:r>
      <w:r>
        <w:rPr>
          <w:spacing w:val="-2"/>
          <w:sz w:val="22"/>
        </w:rPr>
        <w:t>Coordinator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40" w:lineRule="auto" w:before="0" w:after="0"/>
        <w:ind w:left="504" w:right="0" w:hanging="144"/>
        <w:jc w:val="left"/>
        <w:rPr>
          <w:sz w:val="22"/>
        </w:rPr>
      </w:pPr>
      <w:r>
        <w:rPr>
          <w:spacing w:val="-2"/>
          <w:sz w:val="22"/>
        </w:rPr>
        <w:t>HWCOE</w:t>
      </w:r>
      <w:r>
        <w:rPr>
          <w:spacing w:val="6"/>
          <w:sz w:val="22"/>
        </w:rPr>
        <w:t> </w:t>
      </w:r>
      <w:r>
        <w:rPr>
          <w:spacing w:val="-2"/>
          <w:sz w:val="22"/>
        </w:rPr>
        <w:t>Human</w:t>
      </w:r>
      <w:r>
        <w:rPr>
          <w:spacing w:val="8"/>
          <w:sz w:val="22"/>
        </w:rPr>
        <w:t> </w:t>
      </w:r>
      <w:r>
        <w:rPr>
          <w:spacing w:val="-2"/>
          <w:sz w:val="22"/>
        </w:rPr>
        <w:t>Resources,</w:t>
      </w:r>
      <w:r>
        <w:rPr>
          <w:spacing w:val="6"/>
          <w:sz w:val="22"/>
        </w:rPr>
        <w:t> </w:t>
      </w:r>
      <w:r>
        <w:rPr>
          <w:spacing w:val="-2"/>
          <w:sz w:val="22"/>
        </w:rPr>
        <w:t>352-392-0904,</w:t>
      </w:r>
      <w:r>
        <w:rPr>
          <w:spacing w:val="7"/>
          <w:sz w:val="22"/>
        </w:rPr>
        <w:t> </w:t>
      </w:r>
      <w:hyperlink r:id="rId11">
        <w:r>
          <w:rPr>
            <w:color w:val="0000FF"/>
            <w:spacing w:val="-2"/>
            <w:sz w:val="22"/>
            <w:u w:val="single" w:color="0000FF"/>
          </w:rPr>
          <w:t>student-support-hr@eng.ufl.edu</w:t>
        </w:r>
      </w:hyperlink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40" w:lineRule="auto" w:before="0" w:after="0"/>
        <w:ind w:left="504" w:right="0" w:hanging="144"/>
        <w:jc w:val="left"/>
        <w:rPr>
          <w:sz w:val="22"/>
        </w:rPr>
      </w:pPr>
      <w:r>
        <w:rPr>
          <w:sz w:val="22"/>
        </w:rPr>
        <w:t>Pam</w:t>
      </w:r>
      <w:r>
        <w:rPr>
          <w:spacing w:val="-9"/>
          <w:sz w:val="22"/>
        </w:rPr>
        <w:t> </w:t>
      </w:r>
      <w:r>
        <w:rPr>
          <w:sz w:val="22"/>
        </w:rPr>
        <w:t>Dickrell,</w:t>
      </w:r>
      <w:r>
        <w:rPr>
          <w:spacing w:val="-9"/>
          <w:sz w:val="22"/>
        </w:rPr>
        <w:t> </w:t>
      </w:r>
      <w:r>
        <w:rPr>
          <w:sz w:val="22"/>
        </w:rPr>
        <w:t>Associate</w:t>
      </w:r>
      <w:r>
        <w:rPr>
          <w:spacing w:val="-9"/>
          <w:sz w:val="22"/>
        </w:rPr>
        <w:t> </w:t>
      </w:r>
      <w:r>
        <w:rPr>
          <w:sz w:val="22"/>
        </w:rPr>
        <w:t>Dean</w:t>
      </w:r>
      <w:r>
        <w:rPr>
          <w:spacing w:val="-9"/>
          <w:sz w:val="22"/>
        </w:rPr>
        <w:t> </w:t>
      </w:r>
      <w:r>
        <w:rPr>
          <w:sz w:val="22"/>
        </w:rPr>
        <w:t>of</w:t>
      </w:r>
      <w:r>
        <w:rPr>
          <w:spacing w:val="-9"/>
          <w:sz w:val="22"/>
        </w:rPr>
        <w:t> </w:t>
      </w:r>
      <w:r>
        <w:rPr>
          <w:sz w:val="22"/>
        </w:rPr>
        <w:t>Student</w:t>
      </w:r>
      <w:r>
        <w:rPr>
          <w:spacing w:val="-9"/>
          <w:sz w:val="22"/>
        </w:rPr>
        <w:t> </w:t>
      </w:r>
      <w:r>
        <w:rPr>
          <w:sz w:val="22"/>
        </w:rPr>
        <w:t>Affairs,</w:t>
      </w:r>
      <w:r>
        <w:rPr>
          <w:spacing w:val="-8"/>
          <w:sz w:val="22"/>
        </w:rPr>
        <w:t> </w:t>
      </w:r>
      <w:r>
        <w:rPr>
          <w:sz w:val="22"/>
        </w:rPr>
        <w:t>352-392-2177,</w:t>
      </w:r>
      <w:r>
        <w:rPr>
          <w:spacing w:val="-8"/>
          <w:sz w:val="22"/>
        </w:rPr>
        <w:t> </w:t>
      </w:r>
      <w:hyperlink r:id="rId12">
        <w:r>
          <w:rPr>
            <w:color w:val="0000FF"/>
            <w:spacing w:val="-2"/>
            <w:sz w:val="22"/>
            <w:u w:val="single" w:color="0000FF"/>
          </w:rPr>
          <w:t>pld@ufl.edu</w:t>
        </w:r>
      </w:hyperlink>
    </w:p>
    <w:sectPr>
      <w:pgSz w:w="12240" w:h="15840"/>
      <w:pgMar w:header="0" w:footer="989" w:top="900" w:bottom="118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74848">
              <wp:simplePos x="0" y="0"/>
              <wp:positionH relativeFrom="page">
                <wp:posOffset>444500</wp:posOffset>
              </wp:positionH>
              <wp:positionV relativeFrom="page">
                <wp:posOffset>9290799</wp:posOffset>
              </wp:positionV>
              <wp:extent cx="1567815" cy="32448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567815" cy="3244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spacing w:val="-2"/>
                              <w:sz w:val="20"/>
                            </w:rPr>
                            <w:t>EMA4020L</w:t>
                          </w:r>
                        </w:p>
                        <w:p>
                          <w:pPr>
                            <w:spacing w:before="1"/>
                            <w:ind w:left="20" w:right="0" w:firstLine="0"/>
                            <w:jc w:val="left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sz w:val="20"/>
                            </w:rPr>
                            <w:t>Aroba</w:t>
                          </w:r>
                          <w:r>
                            <w:rPr>
                              <w:b/>
                              <w:i/>
                              <w:spacing w:val="-5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Saleem,</w:t>
                          </w:r>
                          <w:r>
                            <w:rPr>
                              <w:b/>
                              <w:i/>
                              <w:spacing w:val="-3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z w:val="20"/>
                            </w:rPr>
                            <w:t>Spring</w:t>
                          </w:r>
                          <w:r>
                            <w:rPr>
                              <w:b/>
                              <w:i/>
                              <w:spacing w:val="-2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pacing w:val="-4"/>
                              <w:sz w:val="20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5pt;margin-top:731.559021pt;width:123.45pt;height:25.55pt;mso-position-horizontal-relative:page;mso-position-vertical-relative:page;z-index:-15941632" type="#_x0000_t202" id="docshape1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spacing w:val="-2"/>
                        <w:sz w:val="20"/>
                      </w:rPr>
                      <w:t>EMA4020L</w:t>
                    </w:r>
                  </w:p>
                  <w:p>
                    <w:pPr>
                      <w:spacing w:before="1"/>
                      <w:ind w:left="20" w:right="0" w:firstLine="0"/>
                      <w:jc w:val="left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sz w:val="20"/>
                      </w:rPr>
                      <w:t>Aroba</w:t>
                    </w:r>
                    <w:r>
                      <w:rPr>
                        <w:b/>
                        <w:i/>
                        <w:spacing w:val="-5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sz w:val="20"/>
                      </w:rPr>
                      <w:t>Saleem,</w:t>
                    </w:r>
                    <w:r>
                      <w:rPr>
                        <w:b/>
                        <w:i/>
                        <w:spacing w:val="-3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sz w:val="20"/>
                      </w:rPr>
                      <w:t>Spring</w:t>
                    </w:r>
                    <w:r>
                      <w:rPr>
                        <w:b/>
                        <w:i/>
                        <w:spacing w:val="-2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spacing w:val="-4"/>
                        <w:sz w:val="20"/>
                      </w:rPr>
                      <w:t>2026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75360">
              <wp:simplePos x="0" y="0"/>
              <wp:positionH relativeFrom="page">
                <wp:posOffset>6004559</wp:posOffset>
              </wp:positionH>
              <wp:positionV relativeFrom="page">
                <wp:posOffset>9290799</wp:posOffset>
              </wp:positionV>
              <wp:extent cx="448309" cy="17462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448309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sz w:val="20"/>
                            </w:rPr>
                            <w:t>Page</w:t>
                          </w:r>
                          <w:r>
                            <w:rPr>
                              <w:b/>
                              <w:i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i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b/>
                              <w:i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i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b/>
                              <w:i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2.799988pt;margin-top:731.559021pt;width:35.3pt;height:13.75pt;mso-position-horizontal-relative:page;mso-position-vertical-relative:page;z-index:-15941120" type="#_x0000_t202" id="docshape2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sz w:val="20"/>
                      </w:rPr>
                      <w:t>Page</w:t>
                    </w:r>
                    <w:r>
                      <w:rPr>
                        <w:b/>
                        <w:i/>
                        <w:spacing w:val="-1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b/>
                        <w:i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b/>
                        <w:i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b/>
                        <w:i/>
                        <w:spacing w:val="-10"/>
                        <w:sz w:val="20"/>
                      </w:rPr>
                      <w:t>1</w:t>
                    </w:r>
                    <w:r>
                      <w:rPr>
                        <w:b/>
                        <w:i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5" w:hanging="146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2" w:hanging="1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4" w:hanging="1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06" w:hanging="1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8" w:hanging="1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0" w:hanging="1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2" w:hanging="1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14" w:hanging="1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16" w:hanging="1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" w:right="2483"/>
      <w:jc w:val="center"/>
      <w:outlineLvl w:val="1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right="2483"/>
      <w:jc w:val="center"/>
      <w:outlineLvl w:val="2"/>
    </w:pPr>
    <w:rPr>
      <w:rFonts w:ascii="Cambria" w:hAnsi="Cambria" w:eastAsia="Cambria" w:cs="Cambri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0"/>
      <w:outlineLvl w:val="3"/>
    </w:pPr>
    <w:rPr>
      <w:rFonts w:ascii="Cambria" w:hAnsi="Cambria" w:eastAsia="Cambria" w:cs="Cambria"/>
      <w:b/>
      <w:bCs/>
      <w:i/>
      <w:i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04" w:hanging="144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8" w:lineRule="exact"/>
      <w:ind w:left="107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mailto:aroba.saleem@ufl.edu" TargetMode="External"/><Relationship Id="rId7" Type="http://schemas.openxmlformats.org/officeDocument/2006/relationships/hyperlink" Target="https://it.ufl.edu/get-help/student-computer-recommendations/" TargetMode="External"/><Relationship Id="rId8" Type="http://schemas.openxmlformats.org/officeDocument/2006/relationships/hyperlink" Target="https://www.eng.ufl.edu/students/advising/fall-semester-checklist/computer-" TargetMode="External"/><Relationship Id="rId9" Type="http://schemas.openxmlformats.org/officeDocument/2006/relationships/hyperlink" Target="https://catalog.ufl.edu/UGRD/academic-regulations/attendance-policies/" TargetMode="External"/><Relationship Id="rId10" Type="http://schemas.openxmlformats.org/officeDocument/2006/relationships/hyperlink" Target="https://go.ufl.edu/syllabuspolicies" TargetMode="External"/><Relationship Id="rId11" Type="http://schemas.openxmlformats.org/officeDocument/2006/relationships/hyperlink" Target="mailto:student-support-hr@eng.ufl.edu" TargetMode="External"/><Relationship Id="rId12" Type="http://schemas.openxmlformats.org/officeDocument/2006/relationships/hyperlink" Target="mailto:pld@ufl.edu" TargetMode="External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A. Chadik</dc:creator>
  <dc:title>Standardized Syllabus for the College of Engineering</dc:title>
  <dcterms:created xsi:type="dcterms:W3CDTF">2025-12-23T16:58:28Z</dcterms:created>
  <dcterms:modified xsi:type="dcterms:W3CDTF">2025-12-23T16:58:28Z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2025-12-23T00:00:00Z</vt:filetime>
  </property>
  <property fmtid="{D5CDD505-2E9C-101B-9397-08002B2CF9AE}" pid="5" name="Producer">
    <vt:lpwstr>Microsoft® Word for Microsoft 365</vt:lpwstr>
  </property>
</Properties>
</file>